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  <w:r w:rsidRPr="00B616D9">
        <w:rPr>
          <w:rFonts w:cs="Cambria"/>
          <w:color w:val="548ED5"/>
        </w:rPr>
        <w:t>Evropska mreža saveta pravosuđa</w:t>
      </w:r>
    </w:p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</w:p>
    <w:p w:rsidR="00095F34" w:rsidRDefault="00095F34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  <w:sz w:val="56"/>
          <w:szCs w:val="56"/>
        </w:rPr>
      </w:pPr>
    </w:p>
    <w:p w:rsidR="00C021ED" w:rsidRPr="00095F34" w:rsidRDefault="00C021ED" w:rsidP="0076070A">
      <w:pPr>
        <w:autoSpaceDE w:val="0"/>
        <w:autoSpaceDN w:val="0"/>
        <w:adjustRightInd w:val="0"/>
        <w:spacing w:after="0" w:line="240" w:lineRule="auto"/>
        <w:jc w:val="center"/>
        <w:rPr>
          <w:sz w:val="56"/>
          <w:szCs w:val="56"/>
        </w:rPr>
      </w:pPr>
      <w:r w:rsidRPr="00095F34">
        <w:rPr>
          <w:rFonts w:cs="Cambria"/>
          <w:color w:val="548ED5"/>
          <w:sz w:val="56"/>
          <w:szCs w:val="56"/>
        </w:rPr>
        <w:t>Pregled osnovnih smernica, preporuka i načela Evropske mreže saveta pravosuđa</w:t>
      </w:r>
    </w:p>
    <w:p w:rsidR="00AC1C90" w:rsidRPr="00095F34" w:rsidRDefault="00AC1C90" w:rsidP="0076070A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color w:val="548ED5"/>
          <w:sz w:val="56"/>
          <w:szCs w:val="56"/>
        </w:rPr>
      </w:pPr>
    </w:p>
    <w:p w:rsidR="00C021ED" w:rsidRPr="00095F34" w:rsidRDefault="00C021ED" w:rsidP="0076070A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color w:val="548ED5"/>
          <w:sz w:val="56"/>
          <w:szCs w:val="56"/>
        </w:rPr>
      </w:pPr>
      <w:r w:rsidRPr="00095F34">
        <w:rPr>
          <w:rFonts w:cs="Cambria"/>
          <w:color w:val="548ED5"/>
          <w:sz w:val="56"/>
          <w:szCs w:val="56"/>
        </w:rPr>
        <w:t>Izveštaj za 2012</w:t>
      </w:r>
      <w:r w:rsidR="00AC1C90" w:rsidRPr="00095F34">
        <w:rPr>
          <w:rFonts w:cs="Cambria"/>
          <w:color w:val="548ED5"/>
          <w:sz w:val="56"/>
          <w:szCs w:val="56"/>
        </w:rPr>
        <w:t>/</w:t>
      </w:r>
      <w:r w:rsidRPr="00095F34">
        <w:rPr>
          <w:rFonts w:cs="Cambria"/>
          <w:color w:val="548ED5"/>
          <w:sz w:val="56"/>
          <w:szCs w:val="56"/>
        </w:rPr>
        <w:t>2013. godinu</w:t>
      </w:r>
    </w:p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</w:p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</w:p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</w:p>
    <w:p w:rsidR="00AC1C90" w:rsidRPr="00B616D9" w:rsidRDefault="00AC1C9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Cambria"/>
          <w:color w:val="548ED5"/>
        </w:rPr>
      </w:pPr>
    </w:p>
    <w:p w:rsidR="00AC1C90" w:rsidRDefault="00AC1C90" w:rsidP="0076070A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color w:val="548ED5"/>
        </w:rPr>
      </w:pPr>
      <w:r w:rsidRPr="00B616D9">
        <w:rPr>
          <w:rFonts w:cs="Cambria"/>
          <w:color w:val="548ED5"/>
        </w:rPr>
        <w:t>Zahvaljujući podršci  Evropske unije</w:t>
      </w:r>
    </w:p>
    <w:p w:rsidR="00E92379" w:rsidRDefault="00E92379" w:rsidP="0076070A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color w:val="548ED5"/>
        </w:rPr>
      </w:pPr>
    </w:p>
    <w:p w:rsidR="00AC1C90" w:rsidRPr="00B616D9" w:rsidRDefault="00C021ED" w:rsidP="0076070A">
      <w:pPr>
        <w:jc w:val="center"/>
        <w:rPr>
          <w:b/>
          <w:u w:val="single"/>
        </w:rPr>
      </w:pPr>
      <w:r w:rsidRPr="00B616D9">
        <w:rPr>
          <w:b/>
          <w:u w:val="single"/>
        </w:rPr>
        <w:t xml:space="preserve">Završni izveštaj Projektne grupe Evropske mreže saveta pravosuđa za </w:t>
      </w:r>
      <w:r w:rsidR="00E57A4D" w:rsidRPr="00B616D9">
        <w:rPr>
          <w:b/>
          <w:u w:val="single"/>
        </w:rPr>
        <w:t xml:space="preserve">izradu </w:t>
      </w:r>
      <w:r w:rsidRPr="00B616D9">
        <w:rPr>
          <w:b/>
          <w:u w:val="single"/>
        </w:rPr>
        <w:t>pregled</w:t>
      </w:r>
      <w:r w:rsidR="00E57A4D" w:rsidRPr="00B616D9">
        <w:rPr>
          <w:b/>
          <w:u w:val="single"/>
        </w:rPr>
        <w:t>a</w:t>
      </w:r>
      <w:r w:rsidRPr="00B616D9">
        <w:rPr>
          <w:b/>
          <w:u w:val="single"/>
        </w:rPr>
        <w:t xml:space="preserve"> osnovnih smernica, preporuka i standarda </w:t>
      </w:r>
      <w:r w:rsidR="00AC1C90" w:rsidRPr="00B616D9">
        <w:rPr>
          <w:b/>
          <w:u w:val="single"/>
        </w:rPr>
        <w:t>ENCJ</w:t>
      </w:r>
    </w:p>
    <w:p w:rsidR="00AC1C90" w:rsidRPr="00B616D9" w:rsidRDefault="00AC1C90" w:rsidP="0076070A">
      <w:pPr>
        <w:jc w:val="center"/>
        <w:rPr>
          <w:b/>
          <w:u w:val="single"/>
        </w:rPr>
      </w:pPr>
      <w:r w:rsidRPr="00B616D9">
        <w:rPr>
          <w:b/>
          <w:u w:val="single"/>
        </w:rPr>
        <w:t xml:space="preserve">2012/2013. </w:t>
      </w:r>
      <w:r w:rsidR="00CB58BF" w:rsidRPr="00B616D9">
        <w:rPr>
          <w:b/>
          <w:u w:val="single"/>
        </w:rPr>
        <w:t>g</w:t>
      </w:r>
      <w:r w:rsidRPr="00B616D9">
        <w:rPr>
          <w:b/>
          <w:u w:val="single"/>
        </w:rPr>
        <w:t>odina</w:t>
      </w:r>
    </w:p>
    <w:p w:rsidR="00AC1C90" w:rsidRPr="00B616D9" w:rsidRDefault="00AC1C90" w:rsidP="0076070A">
      <w:pPr>
        <w:jc w:val="center"/>
        <w:rPr>
          <w:b/>
          <w:u w:val="single"/>
        </w:rPr>
      </w:pPr>
      <w:r w:rsidRPr="00B616D9">
        <w:rPr>
          <w:b/>
          <w:u w:val="single"/>
        </w:rPr>
        <w:t>Indeks</w:t>
      </w:r>
    </w:p>
    <w:p w:rsidR="00AC1C90" w:rsidRPr="00B616D9" w:rsidRDefault="00AC1C90" w:rsidP="0076070A">
      <w:pPr>
        <w:jc w:val="both"/>
      </w:pPr>
    </w:p>
    <w:p w:rsidR="00AC1C90" w:rsidRPr="0031337C" w:rsidRDefault="00AC1C90" w:rsidP="0076070A">
      <w:pPr>
        <w:jc w:val="both"/>
        <w:rPr>
          <w:b/>
          <w:sz w:val="24"/>
          <w:szCs w:val="24"/>
        </w:rPr>
      </w:pPr>
      <w:r w:rsidRPr="0031337C">
        <w:rPr>
          <w:b/>
          <w:sz w:val="24"/>
          <w:szCs w:val="24"/>
          <w:u w:val="single"/>
        </w:rPr>
        <w:t>Odeljak</w:t>
      </w:r>
      <w:r w:rsidRPr="0031337C">
        <w:rPr>
          <w:b/>
          <w:sz w:val="24"/>
          <w:szCs w:val="24"/>
          <w:u w:val="single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Pr="0031337C">
        <w:rPr>
          <w:b/>
          <w:sz w:val="24"/>
          <w:szCs w:val="24"/>
        </w:rPr>
        <w:tab/>
      </w:r>
      <w:r w:rsidR="0076070A" w:rsidRPr="0031337C">
        <w:rPr>
          <w:b/>
          <w:sz w:val="24"/>
          <w:szCs w:val="24"/>
          <w:u w:val="single"/>
        </w:rPr>
        <w:t>st</w:t>
      </w:r>
      <w:r w:rsidRPr="0031337C">
        <w:rPr>
          <w:b/>
          <w:sz w:val="24"/>
          <w:szCs w:val="24"/>
          <w:u w:val="single"/>
        </w:rPr>
        <w:t>r.</w:t>
      </w:r>
    </w:p>
    <w:p w:rsidR="00AC1C90" w:rsidRPr="0031337C" w:rsidRDefault="00AC1C90" w:rsidP="0076070A">
      <w:pPr>
        <w:jc w:val="both"/>
        <w:rPr>
          <w:sz w:val="24"/>
          <w:szCs w:val="24"/>
        </w:rPr>
      </w:pPr>
      <w:r w:rsidRPr="0031337C">
        <w:rPr>
          <w:sz w:val="24"/>
          <w:szCs w:val="24"/>
        </w:rPr>
        <w:t>Uvod u Završni izveštaj</w:t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="00E92379" w:rsidRPr="0031337C">
        <w:rPr>
          <w:sz w:val="24"/>
          <w:szCs w:val="24"/>
        </w:rPr>
        <w:t>2</w:t>
      </w:r>
    </w:p>
    <w:p w:rsidR="00AC1C90" w:rsidRPr="0031337C" w:rsidRDefault="00AC1C90" w:rsidP="0076070A">
      <w:pPr>
        <w:jc w:val="both"/>
        <w:rPr>
          <w:sz w:val="24"/>
          <w:szCs w:val="24"/>
        </w:rPr>
      </w:pPr>
      <w:r w:rsidRPr="0031337C">
        <w:rPr>
          <w:sz w:val="24"/>
          <w:szCs w:val="24"/>
        </w:rPr>
        <w:t>Rezime načela i preporuka ENCJ</w:t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="00E92379" w:rsidRPr="0031337C">
        <w:rPr>
          <w:sz w:val="24"/>
          <w:szCs w:val="24"/>
        </w:rPr>
        <w:t>3</w:t>
      </w:r>
    </w:p>
    <w:p w:rsidR="00AC1C90" w:rsidRPr="0031337C" w:rsidRDefault="00AC1C90" w:rsidP="0076070A">
      <w:pPr>
        <w:jc w:val="both"/>
        <w:rPr>
          <w:sz w:val="24"/>
          <w:szCs w:val="24"/>
        </w:rPr>
      </w:pPr>
      <w:r w:rsidRPr="0031337C">
        <w:rPr>
          <w:sz w:val="24"/>
          <w:szCs w:val="24"/>
        </w:rPr>
        <w:t xml:space="preserve">Prilog: </w:t>
      </w:r>
      <w:r w:rsidR="00397E72" w:rsidRPr="0031337C">
        <w:rPr>
          <w:sz w:val="24"/>
          <w:szCs w:val="24"/>
        </w:rPr>
        <w:t>Prikazi</w:t>
      </w:r>
      <w:r w:rsidRPr="0031337C">
        <w:rPr>
          <w:sz w:val="24"/>
          <w:szCs w:val="24"/>
        </w:rPr>
        <w:t xml:space="preserve"> dokumenata ENCJ</w:t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="00397E72" w:rsidRPr="0031337C">
        <w:rPr>
          <w:sz w:val="24"/>
          <w:szCs w:val="24"/>
        </w:rPr>
        <w:tab/>
      </w:r>
      <w:r w:rsidR="00A536F0">
        <w:rPr>
          <w:sz w:val="24"/>
          <w:szCs w:val="24"/>
        </w:rPr>
        <w:t>8</w:t>
      </w:r>
    </w:p>
    <w:p w:rsidR="00C021ED" w:rsidRPr="0031337C" w:rsidRDefault="00AC1C90" w:rsidP="0076070A">
      <w:pPr>
        <w:jc w:val="both"/>
        <w:rPr>
          <w:sz w:val="24"/>
          <w:szCs w:val="24"/>
        </w:rPr>
      </w:pPr>
      <w:r w:rsidRPr="0031337C">
        <w:rPr>
          <w:sz w:val="24"/>
          <w:szCs w:val="24"/>
        </w:rPr>
        <w:t>Napomene</w:t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Pr="0031337C">
        <w:rPr>
          <w:sz w:val="24"/>
          <w:szCs w:val="24"/>
        </w:rPr>
        <w:tab/>
      </w:r>
      <w:r w:rsidR="0031337C">
        <w:rPr>
          <w:sz w:val="24"/>
          <w:szCs w:val="24"/>
        </w:rPr>
        <w:t xml:space="preserve">            </w:t>
      </w:r>
      <w:r w:rsidR="00A536F0">
        <w:rPr>
          <w:sz w:val="24"/>
          <w:szCs w:val="24"/>
        </w:rPr>
        <w:t>14</w:t>
      </w:r>
    </w:p>
    <w:p w:rsidR="00F232E7" w:rsidRPr="00B616D9" w:rsidRDefault="00F232E7" w:rsidP="0076070A">
      <w:pPr>
        <w:jc w:val="both"/>
      </w:pPr>
    </w:p>
    <w:p w:rsidR="0076070A" w:rsidRDefault="0076070A" w:rsidP="0076070A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</w:p>
    <w:p w:rsidR="00CB58BF" w:rsidRPr="0031337C" w:rsidRDefault="00CB58BF" w:rsidP="0076070A">
      <w:pPr>
        <w:jc w:val="center"/>
        <w:rPr>
          <w:b/>
          <w:sz w:val="28"/>
          <w:szCs w:val="28"/>
          <w:u w:val="single"/>
        </w:rPr>
      </w:pPr>
      <w:r w:rsidRPr="0031337C">
        <w:rPr>
          <w:b/>
          <w:sz w:val="28"/>
          <w:szCs w:val="28"/>
          <w:u w:val="single"/>
        </w:rPr>
        <w:lastRenderedPageBreak/>
        <w:t>Završni izveštaj Projektne grupe Evropske mreže saveta pravosuđa za izradu pregleda osnovnih smernica, preporuka i standarda ENCJ</w:t>
      </w:r>
    </w:p>
    <w:p w:rsidR="00F232E7" w:rsidRPr="00A536F0" w:rsidRDefault="00C021ED" w:rsidP="00A536F0">
      <w:pPr>
        <w:jc w:val="center"/>
        <w:rPr>
          <w:b/>
          <w:sz w:val="24"/>
          <w:szCs w:val="24"/>
          <w:u w:val="single"/>
        </w:rPr>
      </w:pPr>
      <w:r w:rsidRPr="00A536F0">
        <w:rPr>
          <w:b/>
          <w:sz w:val="24"/>
          <w:szCs w:val="24"/>
          <w:u w:val="single"/>
        </w:rPr>
        <w:t>Uvod u Završni izveštaj</w:t>
      </w:r>
    </w:p>
    <w:p w:rsidR="00F232E7" w:rsidRPr="00B616D9" w:rsidRDefault="00F232E7" w:rsidP="0076070A">
      <w:pPr>
        <w:jc w:val="both"/>
      </w:pPr>
      <w:r w:rsidRPr="00B616D9">
        <w:t xml:space="preserve">(i) </w:t>
      </w:r>
      <w:r w:rsidR="00C021ED" w:rsidRPr="00B616D9">
        <w:t>Ova projektna grupa formirana je kako bi pripremila koncizan dokument u kojem se daje pregled osnovnih načela koj</w:t>
      </w:r>
      <w:r w:rsidR="0034784B" w:rsidRPr="00B616D9">
        <w:t>a</w:t>
      </w:r>
      <w:r w:rsidR="00C021ED" w:rsidRPr="00B616D9">
        <w:t xml:space="preserve"> je uspostavila Evropska mreža saveta pravosuđa (</w:t>
      </w:r>
      <w:r w:rsidR="00C021ED" w:rsidRPr="00B616D9">
        <w:rPr>
          <w:i/>
        </w:rPr>
        <w:t>European Network of Councils for the Judiciary</w:t>
      </w:r>
      <w:r w:rsidR="00C021ED" w:rsidRPr="00B616D9">
        <w:t xml:space="preserve">, </w:t>
      </w:r>
      <w:r w:rsidR="0034784B" w:rsidRPr="00B616D9">
        <w:t xml:space="preserve">u daljem tekstu: </w:t>
      </w:r>
      <w:r w:rsidR="00C021ED" w:rsidRPr="00B616D9">
        <w:t>ENCJ)</w:t>
      </w:r>
      <w:r w:rsidR="0034784B" w:rsidRPr="00B616D9">
        <w:t>,</w:t>
      </w:r>
      <w:r w:rsidR="00C021ED" w:rsidRPr="00B616D9">
        <w:t xml:space="preserve"> kao i njenih standarda, smernica i preporuka.   </w:t>
      </w:r>
    </w:p>
    <w:p w:rsidR="00F232E7" w:rsidRPr="00B616D9" w:rsidRDefault="00F232E7" w:rsidP="0076070A">
      <w:pPr>
        <w:jc w:val="both"/>
      </w:pPr>
      <w:r w:rsidRPr="00B616D9">
        <w:t xml:space="preserve">(ii) </w:t>
      </w:r>
      <w:r w:rsidR="00C021ED" w:rsidRPr="00B616D9">
        <w:t xml:space="preserve">Cilj </w:t>
      </w:r>
      <w:r w:rsidR="0034784B" w:rsidRPr="00B616D9">
        <w:t xml:space="preserve">grupe je bio da „destiluje“ </w:t>
      </w:r>
      <w:r w:rsidR="00C021ED" w:rsidRPr="00B616D9">
        <w:t>mudrost svih prethodnih projektnih timova ENCJ i izrad</w:t>
      </w:r>
      <w:r w:rsidR="0034784B" w:rsidRPr="00B616D9">
        <w:t>i</w:t>
      </w:r>
      <w:r w:rsidR="000E672B" w:rsidRPr="00B616D9">
        <w:t>pristupačan</w:t>
      </w:r>
      <w:r w:rsidR="00C021ED" w:rsidRPr="00B616D9">
        <w:t xml:space="preserve"> dokument u kojem su izloženi rezultati većine </w:t>
      </w:r>
      <w:r w:rsidR="0034784B" w:rsidRPr="00B616D9">
        <w:t>dosadašnjih</w:t>
      </w:r>
      <w:r w:rsidR="00C021ED" w:rsidRPr="00B616D9">
        <w:t xml:space="preserve"> izveštaja i radova ENCJ. </w:t>
      </w:r>
    </w:p>
    <w:p w:rsidR="0034784B" w:rsidRPr="00B616D9" w:rsidRDefault="00F232E7" w:rsidP="0076070A">
      <w:pPr>
        <w:jc w:val="both"/>
      </w:pPr>
      <w:r w:rsidRPr="00B616D9">
        <w:t xml:space="preserve">(iii) </w:t>
      </w:r>
      <w:r w:rsidR="0034784B" w:rsidRPr="00B616D9">
        <w:t xml:space="preserve">Projektna grupa se nadala da će </w:t>
      </w:r>
      <w:r w:rsidR="003E631C" w:rsidRPr="00B616D9">
        <w:t>konačni dokument predstavlja</w:t>
      </w:r>
      <w:r w:rsidR="0034784B" w:rsidRPr="00B616D9">
        <w:t>ti</w:t>
      </w:r>
      <w:r w:rsidR="003E631C" w:rsidRPr="00B616D9">
        <w:t xml:space="preserve"> pristupačan pregled koji će njenim članicama, </w:t>
      </w:r>
      <w:r w:rsidR="0076070A">
        <w:t>s</w:t>
      </w:r>
      <w:r w:rsidR="003E631C" w:rsidRPr="00B616D9">
        <w:t xml:space="preserve">avetima pravosuđa i sličnim telima u državama kandidatima ili potencijalnim kandidatima za </w:t>
      </w:r>
      <w:r w:rsidR="0034784B" w:rsidRPr="00B616D9">
        <w:t xml:space="preserve">članstvo u </w:t>
      </w:r>
      <w:r w:rsidR="003E631C" w:rsidRPr="00B616D9">
        <w:t xml:space="preserve">EU omogućiti da utvrde dobru praksu vezanu za upravljanje modernim evropskim pravosudnim sistemom.  </w:t>
      </w:r>
    </w:p>
    <w:p w:rsidR="003E631C" w:rsidRPr="00B616D9" w:rsidRDefault="00F232E7" w:rsidP="0076070A">
      <w:pPr>
        <w:jc w:val="both"/>
      </w:pPr>
      <w:r w:rsidRPr="00B616D9">
        <w:t xml:space="preserve">(iv) </w:t>
      </w:r>
      <w:r w:rsidR="00CB58BF" w:rsidRPr="00B616D9">
        <w:t xml:space="preserve">Ovu projektnu grupu su činili predstavnici </w:t>
      </w:r>
      <w:r w:rsidR="003E631C" w:rsidRPr="00B616D9">
        <w:t>13 saveta pravosuđa ( Belgije, Bugarske, Engleske, Velsa i Škotske, Danske, Francuske, Holandije, Irske, Italije, Litvanije, Portugala, Rumunije, Slovačke i Španije), kao i predstavni</w:t>
      </w:r>
      <w:r w:rsidR="009B606F" w:rsidRPr="00B616D9">
        <w:t>ci</w:t>
      </w:r>
      <w:r w:rsidR="003E631C" w:rsidRPr="00B616D9">
        <w:t xml:space="preserve"> dva člana sa statusom posmatrača, iz Turske i Norveške. Gđa Dijana Labokaite, predstavnica Saveta pravosuđa Republike Litvanije, je predsedavala </w:t>
      </w:r>
      <w:r w:rsidR="000E672B" w:rsidRPr="00B616D9">
        <w:t xml:space="preserve">radnoj grupi </w:t>
      </w:r>
      <w:r w:rsidR="003E631C" w:rsidRPr="00B616D9">
        <w:t xml:space="preserve">i koordinisala </w:t>
      </w:r>
      <w:r w:rsidR="000E672B" w:rsidRPr="00B616D9">
        <w:t xml:space="preserve">njen </w:t>
      </w:r>
      <w:r w:rsidR="003E631C" w:rsidRPr="00B616D9">
        <w:t xml:space="preserve">rad. </w:t>
      </w:r>
    </w:p>
    <w:p w:rsidR="00F232E7" w:rsidRPr="00B616D9" w:rsidRDefault="00F232E7" w:rsidP="0076070A">
      <w:pPr>
        <w:jc w:val="both"/>
      </w:pPr>
      <w:r w:rsidRPr="00B616D9">
        <w:t xml:space="preserve">(v) </w:t>
      </w:r>
      <w:r w:rsidR="003E631C" w:rsidRPr="00B616D9">
        <w:t xml:space="preserve">Projektna grupa </w:t>
      </w:r>
      <w:r w:rsidR="009B606F" w:rsidRPr="00B616D9">
        <w:t>se sastala tri puta</w:t>
      </w:r>
      <w:r w:rsidRPr="00B616D9">
        <w:t xml:space="preserve">:- </w:t>
      </w:r>
    </w:p>
    <w:p w:rsidR="00F232E7" w:rsidRPr="00B616D9" w:rsidRDefault="00F232E7" w:rsidP="0076070A">
      <w:pPr>
        <w:ind w:left="720"/>
        <w:jc w:val="both"/>
      </w:pPr>
      <w:r w:rsidRPr="00B616D9">
        <w:t xml:space="preserve">(a) </w:t>
      </w:r>
      <w:r w:rsidR="003E631C" w:rsidRPr="00B616D9">
        <w:t>P</w:t>
      </w:r>
      <w:r w:rsidR="005D5F98" w:rsidRPr="00B616D9">
        <w:t>rvi</w:t>
      </w:r>
      <w:r w:rsidR="009B606F" w:rsidRPr="00B616D9">
        <w:t xml:space="preserve">put </w:t>
      </w:r>
      <w:r w:rsidR="003E631C" w:rsidRPr="00B616D9">
        <w:t xml:space="preserve">u Briselu 17. i 18. septembra </w:t>
      </w:r>
      <w:r w:rsidRPr="00B616D9">
        <w:t xml:space="preserve">2012. </w:t>
      </w:r>
    </w:p>
    <w:p w:rsidR="00F232E7" w:rsidRPr="00B616D9" w:rsidRDefault="00F232E7" w:rsidP="0076070A">
      <w:pPr>
        <w:ind w:left="720"/>
        <w:jc w:val="both"/>
      </w:pPr>
      <w:r w:rsidRPr="00B616D9">
        <w:t xml:space="preserve">(b) </w:t>
      </w:r>
      <w:r w:rsidR="009B606F" w:rsidRPr="00B616D9">
        <w:t xml:space="preserve">Drugi put </w:t>
      </w:r>
      <w:r w:rsidR="005966C6" w:rsidRPr="00B616D9">
        <w:t xml:space="preserve">u Viljnusu 10. decembra 2012. </w:t>
      </w:r>
    </w:p>
    <w:p w:rsidR="00F232E7" w:rsidRPr="00B616D9" w:rsidRDefault="00F232E7" w:rsidP="0076070A">
      <w:pPr>
        <w:ind w:left="720"/>
        <w:jc w:val="both"/>
      </w:pPr>
      <w:r w:rsidRPr="00B616D9">
        <w:t xml:space="preserve">(c) </w:t>
      </w:r>
      <w:r w:rsidR="009B606F" w:rsidRPr="00B616D9">
        <w:t xml:space="preserve">Treći put </w:t>
      </w:r>
      <w:r w:rsidR="005966C6" w:rsidRPr="00B616D9">
        <w:t>u Rimu 11. februara 201</w:t>
      </w:r>
      <w:r w:rsidR="009B606F" w:rsidRPr="00B616D9">
        <w:t>3</w:t>
      </w:r>
      <w:r w:rsidR="005966C6" w:rsidRPr="00B616D9">
        <w:t xml:space="preserve">. </w:t>
      </w:r>
    </w:p>
    <w:p w:rsidR="00F232E7" w:rsidRPr="00B616D9" w:rsidRDefault="00F232E7" w:rsidP="0076070A">
      <w:pPr>
        <w:jc w:val="both"/>
      </w:pPr>
      <w:r w:rsidRPr="00B616D9">
        <w:t xml:space="preserve">(vi) </w:t>
      </w:r>
      <w:r w:rsidR="005D5F98" w:rsidRPr="00B616D9">
        <w:t xml:space="preserve">Autori </w:t>
      </w:r>
      <w:r w:rsidR="00DE27D5" w:rsidRPr="00B616D9">
        <w:t>Rezimea</w:t>
      </w:r>
      <w:r w:rsidR="006E4C90" w:rsidRPr="00B616D9">
        <w:t xml:space="preserve"> načela i preporuka ENCJ (u daljem tekstu: </w:t>
      </w:r>
      <w:r w:rsidR="00DE27D5" w:rsidRPr="00B616D9">
        <w:t>Rezime</w:t>
      </w:r>
      <w:r w:rsidR="006E4C90" w:rsidRPr="00B616D9">
        <w:t xml:space="preserve">) </w:t>
      </w:r>
      <w:r w:rsidR="005D5F98" w:rsidRPr="00B616D9">
        <w:t>su nastojali da sačine što konzicniji dokument</w:t>
      </w:r>
      <w:r w:rsidRPr="00B616D9">
        <w:t xml:space="preserve">. </w:t>
      </w:r>
      <w:r w:rsidR="005D5F98" w:rsidRPr="00B616D9">
        <w:t>Dostupnost</w:t>
      </w:r>
      <w:r w:rsidR="006E4C90" w:rsidRPr="00B616D9">
        <w:t xml:space="preserve"> je predstavljala osnovn</w:t>
      </w:r>
      <w:r w:rsidR="000E672B" w:rsidRPr="00B616D9">
        <w:t>i cilj</w:t>
      </w:r>
      <w:r w:rsidR="006E4C90" w:rsidRPr="00B616D9">
        <w:t xml:space="preserve"> projektn</w:t>
      </w:r>
      <w:r w:rsidR="000E672B" w:rsidRPr="00B616D9">
        <w:t>e</w:t>
      </w:r>
      <w:r w:rsidR="006E4C90" w:rsidRPr="00B616D9">
        <w:t xml:space="preserve"> grup</w:t>
      </w:r>
      <w:r w:rsidR="000E672B" w:rsidRPr="00B616D9">
        <w:t>e</w:t>
      </w:r>
      <w:r w:rsidR="006E4C90" w:rsidRPr="00B616D9">
        <w:t xml:space="preserve">. Projektna grupa je </w:t>
      </w:r>
      <w:r w:rsidR="005D5F98" w:rsidRPr="00B616D9">
        <w:t>s</w:t>
      </w:r>
      <w:r w:rsidR="006E4C90" w:rsidRPr="00B616D9">
        <w:t xml:space="preserve">toga morala da bude </w:t>
      </w:r>
      <w:r w:rsidR="005D5F98" w:rsidRPr="00B616D9">
        <w:t>selektivna</w:t>
      </w:r>
      <w:r w:rsidR="006E4C90" w:rsidRPr="00B616D9">
        <w:t xml:space="preserve">. Ona je obuhvatila najznačajnija </w:t>
      </w:r>
      <w:r w:rsidR="00DE27D5" w:rsidRPr="00B616D9">
        <w:t xml:space="preserve">ali ne i sva </w:t>
      </w:r>
      <w:r w:rsidR="006E4C90" w:rsidRPr="00B616D9">
        <w:t xml:space="preserve">načela i preporuke a </w:t>
      </w:r>
      <w:r w:rsidR="00DE27D5" w:rsidRPr="00B616D9">
        <w:t xml:space="preserve">za </w:t>
      </w:r>
      <w:r w:rsidR="005D5F98" w:rsidRPr="00B616D9">
        <w:t xml:space="preserve">mnoge od njih nije </w:t>
      </w:r>
      <w:r w:rsidR="00DE27D5" w:rsidRPr="00B616D9">
        <w:t>dala podrobna obrazloženja</w:t>
      </w:r>
      <w:r w:rsidR="006E4C90" w:rsidRPr="00B616D9">
        <w:t xml:space="preserve">. Štaviše, donekle je izmenila </w:t>
      </w:r>
      <w:r w:rsidR="00DE27D5" w:rsidRPr="00B616D9">
        <w:t xml:space="preserve">način na koji su ta načela i preporuke formulisani u ranijim dokumentima u cilju </w:t>
      </w:r>
      <w:r w:rsidR="006E4C90" w:rsidRPr="00B616D9">
        <w:t>ujednačavanja stila i/ili postizanja k</w:t>
      </w:r>
      <w:r w:rsidR="005D5F98" w:rsidRPr="00B616D9">
        <w:t>onciznosti</w:t>
      </w:r>
      <w:r w:rsidR="00DE27D5" w:rsidRPr="00B616D9">
        <w:t xml:space="preserve">. </w:t>
      </w:r>
    </w:p>
    <w:p w:rsidR="00F232E7" w:rsidRPr="00B616D9" w:rsidRDefault="00F232E7" w:rsidP="0076070A">
      <w:pPr>
        <w:jc w:val="both"/>
      </w:pPr>
      <w:r w:rsidRPr="00B616D9">
        <w:t xml:space="preserve">(vii) </w:t>
      </w:r>
      <w:r w:rsidR="00DE27D5" w:rsidRPr="00B616D9">
        <w:t>Rezime</w:t>
      </w:r>
      <w:r w:rsidR="006E4C90" w:rsidRPr="00B616D9">
        <w:t>, međutim, obuhvata dva mehanizma koj</w:t>
      </w:r>
      <w:r w:rsidR="009B606F" w:rsidRPr="00B616D9">
        <w:t>i</w:t>
      </w:r>
      <w:r w:rsidR="006E4C90" w:rsidRPr="00B616D9">
        <w:t xml:space="preserve"> čitaocu omogućuju da </w:t>
      </w:r>
      <w:r w:rsidR="00DE27D5" w:rsidRPr="00B616D9">
        <w:t>nađe</w:t>
      </w:r>
      <w:r w:rsidR="006E4C90" w:rsidRPr="00B616D9">
        <w:t xml:space="preserve"> podrobnije informacije </w:t>
      </w:r>
      <w:r w:rsidR="00DE27D5" w:rsidRPr="00B616D9">
        <w:t>o svakoj konkretnoj temi</w:t>
      </w:r>
      <w:r w:rsidRPr="00B616D9">
        <w:t xml:space="preserve">:- </w:t>
      </w:r>
    </w:p>
    <w:p w:rsidR="00F232E7" w:rsidRPr="00B616D9" w:rsidRDefault="00F232E7" w:rsidP="0076070A">
      <w:pPr>
        <w:ind w:left="720"/>
        <w:jc w:val="both"/>
      </w:pPr>
      <w:r w:rsidRPr="00B616D9">
        <w:t xml:space="preserve">(a) </w:t>
      </w:r>
      <w:r w:rsidR="006E4C90" w:rsidRPr="00B616D9">
        <w:t>Napomene na kraju dokumenta koj</w:t>
      </w:r>
      <w:r w:rsidR="00DE27D5" w:rsidRPr="00B616D9">
        <w:t>e</w:t>
      </w:r>
      <w:r w:rsidR="006E4C90" w:rsidRPr="00B616D9">
        <w:t xml:space="preserve"> čitaoca upućuju na dokumente ENCJ </w:t>
      </w:r>
      <w:r w:rsidR="00DE27D5" w:rsidRPr="00B616D9">
        <w:t xml:space="preserve">iz kojih su preuzeta načela i </w:t>
      </w:r>
      <w:r w:rsidR="006E4C90" w:rsidRPr="00B616D9">
        <w:t>preporuke</w:t>
      </w:r>
      <w:r w:rsidRPr="00B616D9">
        <w:t xml:space="preserve">; </w:t>
      </w:r>
      <w:r w:rsidR="006E4C90" w:rsidRPr="00B616D9">
        <w:t>i</w:t>
      </w:r>
    </w:p>
    <w:p w:rsidR="00F232E7" w:rsidRPr="00B616D9" w:rsidRDefault="00F232E7" w:rsidP="0076070A">
      <w:pPr>
        <w:ind w:left="720"/>
        <w:jc w:val="both"/>
      </w:pPr>
      <w:r w:rsidRPr="00B616D9">
        <w:t xml:space="preserve">(b) </w:t>
      </w:r>
      <w:r w:rsidR="00397E72">
        <w:t>Prikazi</w:t>
      </w:r>
      <w:r w:rsidR="00E57A4D" w:rsidRPr="00B616D9">
        <w:t xml:space="preserve"> tih dokumenata u Prilogu uz ovaj izveštaj, sa linkovima za te dokumente na internet stranici ENCJ.</w:t>
      </w:r>
    </w:p>
    <w:p w:rsidR="00F232E7" w:rsidRPr="00B616D9" w:rsidRDefault="00F232E7" w:rsidP="0076070A">
      <w:pPr>
        <w:jc w:val="both"/>
      </w:pPr>
      <w:r w:rsidRPr="00B616D9">
        <w:t xml:space="preserve">(viii) </w:t>
      </w:r>
      <w:r w:rsidR="00E57A4D" w:rsidRPr="00B616D9">
        <w:t xml:space="preserve">Namera projektne grupe bila je da sačini „živi dokument“ koji će biti nadopunjavan novim osnovnim načelima koje će ENCJ formulisati u budućim </w:t>
      </w:r>
      <w:r w:rsidR="00DE27D5" w:rsidRPr="00B616D9">
        <w:t xml:space="preserve">radovima i </w:t>
      </w:r>
      <w:r w:rsidR="00E57A4D" w:rsidRPr="00B616D9">
        <w:t xml:space="preserve">izveštajima.  </w:t>
      </w:r>
    </w:p>
    <w:p w:rsidR="00F232E7" w:rsidRPr="00B616D9" w:rsidRDefault="00E57A4D" w:rsidP="0076070A">
      <w:pPr>
        <w:jc w:val="both"/>
      </w:pPr>
      <w:r w:rsidRPr="00B616D9">
        <w:t xml:space="preserve">Sudija </w:t>
      </w:r>
      <w:r w:rsidR="00F232E7" w:rsidRPr="00B616D9">
        <w:t xml:space="preserve">Diana Labokaite </w:t>
      </w:r>
    </w:p>
    <w:p w:rsidR="00F232E7" w:rsidRPr="00B616D9" w:rsidRDefault="00E57A4D" w:rsidP="0076070A">
      <w:pPr>
        <w:jc w:val="both"/>
      </w:pPr>
      <w:r w:rsidRPr="00B616D9">
        <w:t>Koordinatorka projekta</w:t>
      </w:r>
      <w:r w:rsidR="00E92379">
        <w:t xml:space="preserve">                                                                                                                         </w:t>
      </w:r>
      <w:r w:rsidR="00F232E7" w:rsidRPr="00B616D9">
        <w:t>13</w:t>
      </w:r>
      <w:r w:rsidRPr="00B616D9">
        <w:t>. maj</w:t>
      </w:r>
      <w:r w:rsidR="00F232E7" w:rsidRPr="00B616D9">
        <w:t xml:space="preserve"> 2013</w:t>
      </w:r>
    </w:p>
    <w:p w:rsidR="00F229F5" w:rsidRPr="0031337C" w:rsidRDefault="00DE27D5" w:rsidP="00F97816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31337C">
        <w:rPr>
          <w:b/>
          <w:sz w:val="24"/>
          <w:szCs w:val="24"/>
          <w:u w:val="single"/>
        </w:rPr>
        <w:lastRenderedPageBreak/>
        <w:t>Rezime</w:t>
      </w:r>
      <w:r w:rsidR="00F229F5" w:rsidRPr="0031337C">
        <w:rPr>
          <w:b/>
          <w:sz w:val="24"/>
          <w:szCs w:val="24"/>
          <w:u w:val="single"/>
        </w:rPr>
        <w:t xml:space="preserve"> načela i preporuka ENCJ</w:t>
      </w:r>
    </w:p>
    <w:p w:rsidR="009B606F" w:rsidRPr="00F97816" w:rsidRDefault="00F229F5" w:rsidP="00F97816">
      <w:pPr>
        <w:spacing w:line="240" w:lineRule="auto"/>
        <w:jc w:val="center"/>
        <w:rPr>
          <w:b/>
          <w:sz w:val="20"/>
          <w:szCs w:val="20"/>
        </w:rPr>
      </w:pPr>
      <w:r w:rsidRPr="00F97816">
        <w:rPr>
          <w:b/>
          <w:sz w:val="20"/>
          <w:szCs w:val="20"/>
        </w:rPr>
        <w:t xml:space="preserve">Pripremila Projektna grupa ENCJ </w:t>
      </w:r>
      <w:r w:rsidR="009B606F" w:rsidRPr="00F97816">
        <w:rPr>
          <w:b/>
          <w:sz w:val="20"/>
          <w:szCs w:val="20"/>
        </w:rPr>
        <w:t>za izradu pregleda osnovnih smernica, prepor</w:t>
      </w:r>
      <w:r w:rsidR="00F97816" w:rsidRPr="00F97816">
        <w:rPr>
          <w:b/>
          <w:sz w:val="20"/>
          <w:szCs w:val="20"/>
        </w:rPr>
        <w:t>uka i standarda ENCJ 2012/2013</w:t>
      </w:r>
    </w:p>
    <w:p w:rsidR="00F97816" w:rsidRDefault="00F229F5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Uvod</w:t>
      </w:r>
    </w:p>
    <w:p w:rsidR="00F232E7" w:rsidRPr="00B616D9" w:rsidRDefault="00F232E7" w:rsidP="00F97816">
      <w:pPr>
        <w:spacing w:line="240" w:lineRule="auto"/>
        <w:jc w:val="both"/>
      </w:pPr>
      <w:r w:rsidRPr="004215D8">
        <w:rPr>
          <w:b/>
        </w:rPr>
        <w:t>1.</w:t>
      </w:r>
      <w:r w:rsidR="00E92379">
        <w:rPr>
          <w:b/>
        </w:rPr>
        <w:t xml:space="preserve"> </w:t>
      </w:r>
      <w:r w:rsidR="00F229F5" w:rsidRPr="00B616D9">
        <w:t xml:space="preserve">Ovaj </w:t>
      </w:r>
      <w:r w:rsidR="00DE27D5" w:rsidRPr="00B616D9">
        <w:t>rezime</w:t>
      </w:r>
      <w:r w:rsidR="00F229F5" w:rsidRPr="00B616D9">
        <w:t xml:space="preserve"> ima za cilj da </w:t>
      </w:r>
      <w:r w:rsidR="00DE27D5" w:rsidRPr="00B616D9">
        <w:t xml:space="preserve">prikaže </w:t>
      </w:r>
      <w:r w:rsidR="00F229F5" w:rsidRPr="00B616D9">
        <w:t>načela i preporuk</w:t>
      </w:r>
      <w:r w:rsidR="007E4D30" w:rsidRPr="00B616D9">
        <w:t xml:space="preserve">ekoji su </w:t>
      </w:r>
      <w:r w:rsidR="00F229F5" w:rsidRPr="00B616D9">
        <w:t>formulisan</w:t>
      </w:r>
      <w:r w:rsidR="007E4D30" w:rsidRPr="00B616D9">
        <w:t>i</w:t>
      </w:r>
      <w:r w:rsidR="00F229F5" w:rsidRPr="00B616D9">
        <w:t xml:space="preserve"> u </w:t>
      </w:r>
      <w:r w:rsidR="007E4D30" w:rsidRPr="00B616D9">
        <w:t xml:space="preserve">radovima i </w:t>
      </w:r>
      <w:r w:rsidR="00F229F5" w:rsidRPr="00B616D9">
        <w:t xml:space="preserve">izveštajima ENCJ od njenog formiranja 2004. godine. </w:t>
      </w:r>
    </w:p>
    <w:p w:rsidR="00F232E7" w:rsidRPr="00B616D9" w:rsidRDefault="00F232E7" w:rsidP="00F97816">
      <w:pPr>
        <w:spacing w:after="0" w:line="240" w:lineRule="auto"/>
        <w:jc w:val="both"/>
      </w:pPr>
      <w:r w:rsidRPr="004215D8">
        <w:rPr>
          <w:b/>
        </w:rPr>
        <w:t>2.</w:t>
      </w:r>
      <w:r w:rsidR="00E92379">
        <w:rPr>
          <w:b/>
        </w:rPr>
        <w:t xml:space="preserve"> </w:t>
      </w:r>
      <w:r w:rsidR="00F229F5" w:rsidRPr="00B616D9">
        <w:t xml:space="preserve">Ova načela i preporuke se podeljeni </w:t>
      </w:r>
      <w:r w:rsidR="008D2364" w:rsidRPr="00B616D9">
        <w:t>na</w:t>
      </w:r>
      <w:r w:rsidR="00F229F5" w:rsidRPr="00B616D9">
        <w:t xml:space="preserve"> sledećih 15 tema</w:t>
      </w:r>
      <w:r w:rsidR="00E92379">
        <w:t>:</w:t>
      </w:r>
      <w:r w:rsidRPr="00B616D9">
        <w:t xml:space="preserve">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F229F5" w:rsidRPr="00B616D9">
        <w:t>Nazavisnost pravosuđa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(2) </w:t>
      </w:r>
      <w:r w:rsidR="00F229F5" w:rsidRPr="00B616D9">
        <w:t>Saveti pravosuđa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(3) </w:t>
      </w:r>
      <w:r w:rsidR="00F229F5" w:rsidRPr="00B616D9">
        <w:t>Sudska etika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(4) </w:t>
      </w:r>
      <w:r w:rsidR="008D2364" w:rsidRPr="00B616D9">
        <w:t>Izbor</w:t>
      </w:r>
      <w:r w:rsidR="00F229F5" w:rsidRPr="00B616D9">
        <w:t>, imenovanja i unapređenja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(5) </w:t>
      </w:r>
      <w:r w:rsidR="008D2364" w:rsidRPr="00B616D9">
        <w:t>Plate</w:t>
      </w:r>
      <w:r w:rsidR="00961770" w:rsidRPr="00B616D9">
        <w:t xml:space="preserve"> sudij</w:t>
      </w:r>
      <w:r w:rsidR="008D2364" w:rsidRPr="00B616D9">
        <w:t>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(6) </w:t>
      </w:r>
      <w:r w:rsidR="008D2364" w:rsidRPr="00B616D9">
        <w:t>Obuka sudija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(7) </w:t>
      </w:r>
      <w:r w:rsidR="00961770" w:rsidRPr="00B616D9">
        <w:t>Tužioci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(8) </w:t>
      </w:r>
      <w:r w:rsidR="00961770" w:rsidRPr="00B616D9">
        <w:t>Upravljanje kvalitetom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(9) </w:t>
      </w:r>
      <w:r w:rsidR="00961770" w:rsidRPr="00B616D9">
        <w:t>Upravljanje predmetima i blagovremenost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(10) </w:t>
      </w:r>
      <w:r w:rsidR="00961770" w:rsidRPr="00B616D9">
        <w:t>Kvalitet rada sudija i upravljanje sudijama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(11) </w:t>
      </w:r>
      <w:r w:rsidR="00961770" w:rsidRPr="00B616D9">
        <w:t>Pristup pravdi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(12) </w:t>
      </w:r>
      <w:r w:rsidR="00961770" w:rsidRPr="00B616D9">
        <w:t>Finansiranje sudova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>(13) Transparen</w:t>
      </w:r>
      <w:r w:rsidR="00961770" w:rsidRPr="00B616D9">
        <w:t>tnost, odgovornost i odnosi sa medijima</w:t>
      </w:r>
      <w:r w:rsidRPr="00B616D9">
        <w:t xml:space="preserve">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(14) </w:t>
      </w:r>
      <w:r w:rsidR="00961770" w:rsidRPr="00B616D9">
        <w:t>Poverenje javnosti</w:t>
      </w:r>
      <w:r w:rsidRPr="00B616D9">
        <w:t xml:space="preserve">. </w:t>
      </w:r>
    </w:p>
    <w:p w:rsidR="00F232E7" w:rsidRDefault="00F232E7" w:rsidP="00F97816">
      <w:pPr>
        <w:spacing w:after="120" w:line="240" w:lineRule="auto"/>
        <w:ind w:left="720"/>
        <w:jc w:val="both"/>
      </w:pPr>
      <w:r w:rsidRPr="00B616D9">
        <w:t xml:space="preserve">(15) </w:t>
      </w:r>
      <w:r w:rsidR="00961770" w:rsidRPr="00B616D9">
        <w:t>Uzajamno poverenje</w:t>
      </w:r>
      <w:r w:rsidRPr="00B616D9">
        <w:t xml:space="preserve">. </w:t>
      </w:r>
    </w:p>
    <w:p w:rsidR="00F232E7" w:rsidRPr="00B616D9" w:rsidRDefault="00F232E7" w:rsidP="00F97816">
      <w:pPr>
        <w:spacing w:line="240" w:lineRule="auto"/>
        <w:jc w:val="both"/>
      </w:pPr>
      <w:r w:rsidRPr="004215D8">
        <w:rPr>
          <w:b/>
        </w:rPr>
        <w:t>3.</w:t>
      </w:r>
      <w:r w:rsidR="00E92379">
        <w:rPr>
          <w:b/>
        </w:rPr>
        <w:t xml:space="preserve"> </w:t>
      </w:r>
      <w:r w:rsidR="00961770" w:rsidRPr="00B616D9">
        <w:t xml:space="preserve">U ovom </w:t>
      </w:r>
      <w:r w:rsidR="008D2364" w:rsidRPr="00B616D9">
        <w:t>Rezimeu</w:t>
      </w:r>
      <w:r w:rsidR="00961770" w:rsidRPr="00B616D9">
        <w:t xml:space="preserve"> izraz </w:t>
      </w:r>
      <w:r w:rsidR="008D2364" w:rsidRPr="00B616D9">
        <w:t>„s</w:t>
      </w:r>
      <w:r w:rsidR="00961770" w:rsidRPr="00B616D9">
        <w:t>avet</w:t>
      </w:r>
      <w:r w:rsidR="008D2364" w:rsidRPr="00B616D9">
        <w:t>i</w:t>
      </w:r>
      <w:r w:rsidR="00961770" w:rsidRPr="00B616D9">
        <w:t xml:space="preserve"> pravosuđa</w:t>
      </w:r>
      <w:r w:rsidR="008D2364" w:rsidRPr="00B616D9">
        <w:t xml:space="preserve">“označava </w:t>
      </w:r>
      <w:r w:rsidR="00961770" w:rsidRPr="00B616D9">
        <w:t xml:space="preserve">i </w:t>
      </w:r>
      <w:r w:rsidR="008D2364" w:rsidRPr="00B616D9">
        <w:t xml:space="preserve">ostala </w:t>
      </w:r>
      <w:r w:rsidR="00915AE2" w:rsidRPr="00B616D9">
        <w:t>srodna</w:t>
      </w:r>
      <w:r w:rsidR="00961770" w:rsidRPr="00B616D9">
        <w:t xml:space="preserve"> nezavisna i samostalna tela. </w:t>
      </w:r>
    </w:p>
    <w:p w:rsidR="00F232E7" w:rsidRPr="00B616D9" w:rsidRDefault="00961770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 xml:space="preserve">Tema 1: Nezavisnost pravosuđa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4.</w:t>
      </w:r>
      <w:r w:rsidR="00E92379">
        <w:rPr>
          <w:b/>
        </w:rPr>
        <w:t xml:space="preserve"> </w:t>
      </w:r>
      <w:r w:rsidR="00961770" w:rsidRPr="00B616D9">
        <w:t xml:space="preserve">Svaki građanin u demokratskom društvu ima pravo da </w:t>
      </w:r>
      <w:r w:rsidR="008D2364" w:rsidRPr="00B616D9">
        <w:t>uživa</w:t>
      </w:r>
      <w:r w:rsidR="00961770" w:rsidRPr="00B616D9">
        <w:t xml:space="preserve"> koristi od nezavisnog pravosuđa.</w:t>
      </w:r>
      <w:r w:rsidR="004F2442">
        <w:rPr>
          <w:rStyle w:val="EndnoteReference"/>
        </w:rPr>
        <w:endnoteReference w:id="2"/>
      </w:r>
      <w:r w:rsidRPr="00B616D9">
        <w:rPr>
          <w:vertAlign w:val="superscript"/>
        </w:rPr>
        <w:t>i</w:t>
      </w:r>
    </w:p>
    <w:p w:rsidR="00F232E7" w:rsidRPr="00B616D9" w:rsidRDefault="00F232E7" w:rsidP="00F97816">
      <w:pPr>
        <w:spacing w:after="0" w:line="240" w:lineRule="auto"/>
        <w:jc w:val="both"/>
      </w:pPr>
      <w:r w:rsidRPr="004215D8">
        <w:rPr>
          <w:b/>
        </w:rPr>
        <w:t>5.</w:t>
      </w:r>
      <w:r w:rsidR="00E92379">
        <w:rPr>
          <w:b/>
        </w:rPr>
        <w:t xml:space="preserve"> </w:t>
      </w:r>
      <w:r w:rsidR="00961770" w:rsidRPr="00B616D9">
        <w:t xml:space="preserve">Nezavisno pravosuđe mora da </w:t>
      </w:r>
      <w:r w:rsidR="00443BAD" w:rsidRPr="00B616D9">
        <w:t xml:space="preserve">bude i mora biti </w:t>
      </w:r>
      <w:r w:rsidR="0076070A">
        <w:t>viđeno</w:t>
      </w:r>
      <w:r w:rsidR="00443BAD" w:rsidRPr="00B616D9">
        <w:t xml:space="preserve"> kao</w:t>
      </w:r>
      <w:r w:rsidRPr="00B616D9">
        <w:t xml:space="preserve">: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961770" w:rsidRPr="00B616D9">
        <w:t>Nezavisn</w:t>
      </w:r>
      <w:r w:rsidR="00443BAD" w:rsidRPr="00B616D9">
        <w:t>o</w:t>
      </w:r>
      <w:r w:rsidR="008D2364" w:rsidRPr="00B616D9">
        <w:t>kako</w:t>
      </w:r>
      <w:r w:rsidR="00961770" w:rsidRPr="00B616D9">
        <w:t xml:space="preserve"> od zakonodavne </w:t>
      </w:r>
      <w:r w:rsidR="008D2364" w:rsidRPr="00B616D9">
        <w:t xml:space="preserve">tako </w:t>
      </w:r>
      <w:r w:rsidR="00961770" w:rsidRPr="00B616D9">
        <w:t xml:space="preserve">i </w:t>
      </w:r>
      <w:r w:rsidR="008D2364" w:rsidRPr="00B616D9">
        <w:t xml:space="preserve">od </w:t>
      </w:r>
      <w:r w:rsidR="00961770" w:rsidRPr="00B616D9">
        <w:t>izvršne vlasti</w:t>
      </w:r>
      <w:r w:rsidRPr="00B616D9">
        <w:t>;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(2) </w:t>
      </w:r>
      <w:r w:rsidR="00443BAD" w:rsidRPr="00B616D9">
        <w:t xml:space="preserve">Uspostavljeno </w:t>
      </w:r>
      <w:r w:rsidR="00915AE2" w:rsidRPr="00B616D9">
        <w:t>da</w:t>
      </w:r>
      <w:r w:rsidR="00961770" w:rsidRPr="00B616D9">
        <w:t xml:space="preserve"> bi štitilo slobodu i prava građana u skladu sa vladavinom prava</w:t>
      </w:r>
      <w:r w:rsidRPr="00B616D9">
        <w:t>;</w:t>
      </w:r>
      <w:r w:rsidR="00F13F65">
        <w:rPr>
          <w:rStyle w:val="EndnoteReference"/>
        </w:rPr>
        <w:endnoteReference w:id="3"/>
      </w:r>
      <w:r w:rsidR="00961770" w:rsidRPr="00B616D9">
        <w:t>i</w:t>
      </w:r>
    </w:p>
    <w:p w:rsidR="00F232E7" w:rsidRDefault="00F232E7" w:rsidP="00F97816">
      <w:pPr>
        <w:spacing w:after="120" w:line="240" w:lineRule="auto"/>
        <w:ind w:left="720"/>
        <w:jc w:val="both"/>
      </w:pPr>
      <w:r w:rsidRPr="00B616D9">
        <w:t xml:space="preserve">(3) </w:t>
      </w:r>
      <w:r w:rsidR="00443BAD" w:rsidRPr="00B616D9">
        <w:t xml:space="preserve">da </w:t>
      </w:r>
      <w:r w:rsidR="0076070A">
        <w:t>u</w:t>
      </w:r>
      <w:r w:rsidR="00961770" w:rsidRPr="00B616D9">
        <w:t>pravlja samim sobom</w:t>
      </w:r>
      <w:r w:rsidRPr="00B616D9">
        <w:t>.</w:t>
      </w:r>
      <w:r w:rsidR="00F13F65">
        <w:rPr>
          <w:rStyle w:val="EndnoteReference"/>
        </w:rPr>
        <w:endnoteReference w:id="4"/>
      </w:r>
    </w:p>
    <w:p w:rsidR="00F232E7" w:rsidRPr="00B616D9" w:rsidRDefault="00F232E7" w:rsidP="00F97816">
      <w:pPr>
        <w:spacing w:line="240" w:lineRule="auto"/>
        <w:jc w:val="both"/>
      </w:pPr>
      <w:r w:rsidRPr="004215D8">
        <w:rPr>
          <w:b/>
        </w:rPr>
        <w:t>6.</w:t>
      </w:r>
      <w:r w:rsidR="00E92379">
        <w:rPr>
          <w:b/>
        </w:rPr>
        <w:t xml:space="preserve"> </w:t>
      </w:r>
      <w:r w:rsidR="00961770" w:rsidRPr="00B616D9">
        <w:t xml:space="preserve">Sudije i </w:t>
      </w:r>
      <w:r w:rsidR="00217799" w:rsidRPr="00B616D9">
        <w:t>s</w:t>
      </w:r>
      <w:r w:rsidR="00961770" w:rsidRPr="00B616D9">
        <w:t xml:space="preserve">avet pravosuđa moraju da budu aktivno </w:t>
      </w:r>
      <w:r w:rsidR="00443BAD" w:rsidRPr="00B616D9">
        <w:t>angažovani</w:t>
      </w:r>
      <w:r w:rsidR="00961770" w:rsidRPr="00B616D9">
        <w:t xml:space="preserve"> u izrad</w:t>
      </w:r>
      <w:r w:rsidR="00443BAD" w:rsidRPr="00B616D9">
        <w:t>i</w:t>
      </w:r>
      <w:r w:rsidR="00961770" w:rsidRPr="00B616D9">
        <w:t xml:space="preserve"> i sprovođenj</w:t>
      </w:r>
      <w:r w:rsidR="00443BAD" w:rsidRPr="00B616D9">
        <w:t>u</w:t>
      </w:r>
      <w:r w:rsidR="00961770" w:rsidRPr="00B616D9">
        <w:t xml:space="preserve"> svih p</w:t>
      </w:r>
      <w:r w:rsidR="00217799" w:rsidRPr="00B616D9">
        <w:t>l</w:t>
      </w:r>
      <w:r w:rsidR="00961770" w:rsidRPr="00B616D9">
        <w:t>anova reforme pravosuđa i sudskog sistema</w:t>
      </w:r>
      <w:r w:rsidRPr="00B616D9">
        <w:t>.</w:t>
      </w:r>
      <w:r w:rsidR="00F13F65">
        <w:rPr>
          <w:rStyle w:val="EndnoteReference"/>
        </w:rPr>
        <w:endnoteReference w:id="5"/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T</w:t>
      </w:r>
      <w:r w:rsidR="006C47CA" w:rsidRPr="00B616D9">
        <w:rPr>
          <w:b/>
          <w:u w:val="single"/>
        </w:rPr>
        <w:t>ema</w:t>
      </w:r>
      <w:r w:rsidRPr="00B616D9">
        <w:rPr>
          <w:b/>
          <w:u w:val="single"/>
        </w:rPr>
        <w:t xml:space="preserve"> 2: </w:t>
      </w:r>
      <w:r w:rsidR="006C47CA" w:rsidRPr="00B616D9">
        <w:rPr>
          <w:b/>
          <w:u w:val="single"/>
        </w:rPr>
        <w:t xml:space="preserve">Saveti pravosuđa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7.</w:t>
      </w:r>
      <w:r w:rsidR="00E92379">
        <w:rPr>
          <w:b/>
        </w:rPr>
        <w:t xml:space="preserve"> </w:t>
      </w:r>
      <w:r w:rsidR="006C47CA" w:rsidRPr="00B616D9">
        <w:t xml:space="preserve">Savet pravosuđa mora da </w:t>
      </w:r>
      <w:r w:rsidR="00915AE2" w:rsidRPr="00B616D9">
        <w:t>upravlja</w:t>
      </w:r>
      <w:r w:rsidR="006C47CA" w:rsidRPr="00B616D9">
        <w:t xml:space="preserve"> samim sobom i </w:t>
      </w:r>
      <w:r w:rsidR="0051725A" w:rsidRPr="00B616D9">
        <w:t xml:space="preserve">da bude samostalan u radu </w:t>
      </w:r>
      <w:r w:rsidR="006C47CA" w:rsidRPr="00B616D9">
        <w:t xml:space="preserve">kako bi jemčio nezavisnost pravosuđa, očuvanje vladavine prava, unapređenje građanskih </w:t>
      </w:r>
      <w:r w:rsidR="0076070A">
        <w:t xml:space="preserve">i pojedinačnih </w:t>
      </w:r>
      <w:r w:rsidR="006C47CA" w:rsidRPr="00B616D9">
        <w:t>sloboda, osnovnih ljudskih prava i delotvornog i transparentnog sprovođenja pravde</w:t>
      </w:r>
      <w:r w:rsidRPr="00B616D9">
        <w:t>.</w:t>
      </w:r>
      <w:r w:rsidR="00F13F65">
        <w:rPr>
          <w:rStyle w:val="EndnoteReference"/>
        </w:rPr>
        <w:endnoteReference w:id="6"/>
      </w:r>
    </w:p>
    <w:p w:rsidR="00F232E7" w:rsidRPr="00B616D9" w:rsidRDefault="00F232E7" w:rsidP="00F97816">
      <w:pPr>
        <w:spacing w:after="0" w:line="240" w:lineRule="auto"/>
        <w:jc w:val="both"/>
      </w:pPr>
      <w:r w:rsidRPr="004215D8">
        <w:rPr>
          <w:b/>
        </w:rPr>
        <w:t>8.</w:t>
      </w:r>
      <w:r w:rsidR="00E92379">
        <w:rPr>
          <w:b/>
        </w:rPr>
        <w:t xml:space="preserve"> </w:t>
      </w:r>
      <w:r w:rsidR="006C47CA" w:rsidRPr="00B616D9">
        <w:t xml:space="preserve">Sledeća pitanja moraju u potpunosti ili delimično </w:t>
      </w:r>
      <w:r w:rsidR="0051725A" w:rsidRPr="00B616D9">
        <w:t>biti</w:t>
      </w:r>
      <w:r w:rsidR="006C47CA" w:rsidRPr="00B616D9">
        <w:t xml:space="preserve"> pod kontrolom </w:t>
      </w:r>
      <w:r w:rsidR="00915AE2" w:rsidRPr="00B616D9">
        <w:t>s</w:t>
      </w:r>
      <w:r w:rsidR="006C47CA" w:rsidRPr="00B616D9">
        <w:t xml:space="preserve">aveta pravosuđa ili </w:t>
      </w:r>
      <w:r w:rsidR="00915AE2" w:rsidRPr="00B616D9">
        <w:t>srodnih</w:t>
      </w:r>
      <w:r w:rsidR="006C47CA" w:rsidRPr="00B616D9">
        <w:t xml:space="preserve"> nezavisnih i samostalnih tela</w:t>
      </w:r>
      <w:r w:rsidRPr="00B616D9">
        <w:t>:-</w:t>
      </w:r>
      <w:r w:rsidR="00F13F65">
        <w:rPr>
          <w:rStyle w:val="EndnoteReference"/>
        </w:rPr>
        <w:endnoteReference w:id="7"/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6C47CA" w:rsidRPr="00B616D9">
        <w:t>Imenovanje i unapređenje sudija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(2) </w:t>
      </w:r>
      <w:r w:rsidR="006C47CA" w:rsidRPr="00B616D9">
        <w:t>Obuka sudija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(3) </w:t>
      </w:r>
      <w:r w:rsidR="006C47CA" w:rsidRPr="00B616D9">
        <w:t>Sudska disciplina i sudska etika</w:t>
      </w:r>
      <w:r w:rsidRPr="00B616D9">
        <w:t xml:space="preserve">; </w:t>
      </w:r>
    </w:p>
    <w:p w:rsidR="006C47CA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(4) </w:t>
      </w:r>
      <w:r w:rsidR="006C47CA" w:rsidRPr="00B616D9">
        <w:t xml:space="preserve">Žalbe na rad pravosuđa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(5) </w:t>
      </w:r>
      <w:r w:rsidR="006C47CA" w:rsidRPr="00B616D9">
        <w:t xml:space="preserve">Upravljanje </w:t>
      </w:r>
      <w:r w:rsidR="00443BAD" w:rsidRPr="00B616D9">
        <w:t xml:space="preserve">kvalitetom </w:t>
      </w:r>
      <w:r w:rsidR="006C47CA" w:rsidRPr="00B616D9">
        <w:t>rad</w:t>
      </w:r>
      <w:r w:rsidR="00443BAD" w:rsidRPr="00B616D9">
        <w:t>a</w:t>
      </w:r>
      <w:r w:rsidR="006C47CA" w:rsidRPr="00B616D9">
        <w:t xml:space="preserve"> pravosuđa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(6) </w:t>
      </w:r>
      <w:r w:rsidR="006C47CA" w:rsidRPr="00B616D9">
        <w:t>Upravljanje sudovima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(7) </w:t>
      </w:r>
      <w:r w:rsidR="006C47CA" w:rsidRPr="00B616D9">
        <w:t>Finansiranje pravosuđa</w:t>
      </w:r>
      <w:r w:rsidRPr="00B616D9">
        <w:t xml:space="preserve">; </w:t>
      </w:r>
    </w:p>
    <w:p w:rsidR="00F232E7" w:rsidRDefault="00F232E7" w:rsidP="00F97816">
      <w:pPr>
        <w:spacing w:after="0" w:line="240" w:lineRule="auto"/>
        <w:ind w:left="720"/>
        <w:jc w:val="both"/>
      </w:pPr>
      <w:r w:rsidRPr="00B616D9">
        <w:t xml:space="preserve">(8) </w:t>
      </w:r>
      <w:r w:rsidR="006C47CA" w:rsidRPr="00B616D9">
        <w:t>Predlaganje zakona koji se odnose na sudove i pravosuđe</w:t>
      </w:r>
      <w:r w:rsidRPr="00B616D9">
        <w:t xml:space="preserve">. </w:t>
      </w:r>
    </w:p>
    <w:p w:rsidR="00F97816" w:rsidRPr="00B616D9" w:rsidRDefault="00F97816" w:rsidP="00F97816">
      <w:pPr>
        <w:spacing w:after="0" w:line="240" w:lineRule="auto"/>
        <w:ind w:left="720"/>
        <w:jc w:val="both"/>
      </w:pP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lastRenderedPageBreak/>
        <w:t>9.</w:t>
      </w:r>
      <w:r w:rsidR="00F97816">
        <w:rPr>
          <w:b/>
        </w:rPr>
        <w:t xml:space="preserve"> </w:t>
      </w:r>
      <w:r w:rsidR="006C47CA" w:rsidRPr="00B616D9">
        <w:t xml:space="preserve">Savet pravosuđa </w:t>
      </w:r>
      <w:r w:rsidR="0076070A">
        <w:t xml:space="preserve">treba da </w:t>
      </w:r>
      <w:r w:rsidR="006C47CA" w:rsidRPr="00B616D9">
        <w:t xml:space="preserve">kontroliše sopstvena finansijska sredstva i aktivnosti nezavisno </w:t>
      </w:r>
      <w:r w:rsidR="0076070A">
        <w:t>i</w:t>
      </w:r>
      <w:r w:rsidR="006C47CA" w:rsidRPr="00B616D9">
        <w:t xml:space="preserve"> od zakonodavne i od izvršne grane vlasti</w:t>
      </w:r>
      <w:r w:rsidRPr="00B616D9">
        <w:t>.</w:t>
      </w:r>
      <w:r w:rsidR="00F13F65">
        <w:rPr>
          <w:rStyle w:val="EndnoteReference"/>
        </w:rPr>
        <w:endnoteReference w:id="8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10.</w:t>
      </w:r>
      <w:r w:rsidR="00F97816">
        <w:rPr>
          <w:b/>
        </w:rPr>
        <w:t xml:space="preserve"> </w:t>
      </w:r>
      <w:r w:rsidR="009C6226" w:rsidRPr="00B616D9">
        <w:t xml:space="preserve">Najmanje 50% članova saveta pravosuđa </w:t>
      </w:r>
      <w:r w:rsidR="0076070A">
        <w:t xml:space="preserve">treba da </w:t>
      </w:r>
      <w:r w:rsidR="009C6226" w:rsidRPr="00B616D9">
        <w:t>čine s</w:t>
      </w:r>
      <w:r w:rsidR="006C47CA" w:rsidRPr="00B616D9">
        <w:t>udije koje su izabrale njihove kolege</w:t>
      </w:r>
      <w:r w:rsidRPr="00B616D9">
        <w:t>,</w:t>
      </w:r>
      <w:r w:rsidR="00F13F65">
        <w:rPr>
          <w:rStyle w:val="EndnoteReference"/>
        </w:rPr>
        <w:endnoteReference w:id="9"/>
      </w:r>
      <w:r w:rsidR="006C47CA" w:rsidRPr="00B616D9">
        <w:t xml:space="preserve">a ministar pravde ne bi trebalo da bude član </w:t>
      </w:r>
      <w:r w:rsidR="009C6226" w:rsidRPr="00B616D9">
        <w:t>s</w:t>
      </w:r>
      <w:r w:rsidR="006C47CA" w:rsidRPr="00B616D9">
        <w:t>aveta</w:t>
      </w:r>
      <w:r w:rsidRPr="00B616D9">
        <w:t>.</w:t>
      </w:r>
      <w:r w:rsidR="00F13F65">
        <w:rPr>
          <w:rStyle w:val="EndnoteReference"/>
        </w:rPr>
        <w:endnoteReference w:id="10"/>
      </w:r>
    </w:p>
    <w:p w:rsidR="00F232E7" w:rsidRPr="00B616D9" w:rsidRDefault="006C47CA" w:rsidP="00F97816">
      <w:pPr>
        <w:spacing w:after="120" w:line="240" w:lineRule="auto"/>
        <w:jc w:val="both"/>
      </w:pPr>
      <w:r w:rsidRPr="00B616D9">
        <w:rPr>
          <w:b/>
          <w:u w:val="single"/>
        </w:rPr>
        <w:t xml:space="preserve">Tema </w:t>
      </w:r>
      <w:r w:rsidR="00F232E7" w:rsidRPr="00B616D9">
        <w:rPr>
          <w:b/>
          <w:u w:val="single"/>
        </w:rPr>
        <w:t xml:space="preserve">3: </w:t>
      </w:r>
      <w:r w:rsidRPr="00B616D9">
        <w:rPr>
          <w:b/>
          <w:u w:val="single"/>
        </w:rPr>
        <w:t>Sudska etika</w:t>
      </w:r>
      <w:r w:rsidR="001369BA">
        <w:rPr>
          <w:rStyle w:val="EndnoteReference"/>
          <w:b/>
          <w:u w:val="single"/>
        </w:rPr>
        <w:endnoteReference w:id="11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11.</w:t>
      </w:r>
      <w:r w:rsidR="00E92379">
        <w:rPr>
          <w:b/>
        </w:rPr>
        <w:t xml:space="preserve"> </w:t>
      </w:r>
      <w:r w:rsidR="000D327A" w:rsidRPr="00B616D9">
        <w:t>Sudije moraje da vrše svoj</w:t>
      </w:r>
      <w:r w:rsidR="009C6226" w:rsidRPr="00B616D9">
        <w:t>e</w:t>
      </w:r>
      <w:r w:rsidR="000D327A" w:rsidRPr="00B616D9">
        <w:t xml:space="preserve"> dužnost</w:t>
      </w:r>
      <w:r w:rsidR="009C6226" w:rsidRPr="00B616D9">
        <w:t>i</w:t>
      </w:r>
      <w:r w:rsidR="000D327A" w:rsidRPr="00B616D9">
        <w:t xml:space="preserve"> s integritetom a u interesu pravde i društva.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12.</w:t>
      </w:r>
      <w:r w:rsidR="00E92379">
        <w:rPr>
          <w:b/>
        </w:rPr>
        <w:t xml:space="preserve"> </w:t>
      </w:r>
      <w:r w:rsidR="000D327A" w:rsidRPr="00B616D9">
        <w:t xml:space="preserve">Sudije </w:t>
      </w:r>
      <w:r w:rsidR="009C6226" w:rsidRPr="00B616D9">
        <w:t xml:space="preserve">su dužne </w:t>
      </w:r>
      <w:r w:rsidR="000D327A" w:rsidRPr="00B616D9">
        <w:t>da postupaju sa integritetom i u javnom i u privatnom životu</w:t>
      </w:r>
      <w:r w:rsidRPr="00B616D9">
        <w:t xml:space="preserve">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13.</w:t>
      </w:r>
      <w:r w:rsidR="00E92379">
        <w:rPr>
          <w:b/>
        </w:rPr>
        <w:t xml:space="preserve"> </w:t>
      </w:r>
      <w:r w:rsidR="000D327A" w:rsidRPr="00B616D9">
        <w:t>Sudije moraju da odbij</w:t>
      </w:r>
      <w:r w:rsidR="00443BAD" w:rsidRPr="00B616D9">
        <w:t>aju</w:t>
      </w:r>
      <w:r w:rsidR="000D327A" w:rsidRPr="00B616D9">
        <w:t xml:space="preserve"> sve poklone ili pogodnosti </w:t>
      </w:r>
      <w:r w:rsidR="009C6226" w:rsidRPr="00B616D9">
        <w:t>koji se nude njima ili licima koja su im bliska</w:t>
      </w:r>
      <w:r w:rsidR="000D327A" w:rsidRPr="00B616D9">
        <w:t xml:space="preserve"> dok vrše </w:t>
      </w:r>
      <w:r w:rsidR="009C6226" w:rsidRPr="00B616D9">
        <w:t xml:space="preserve">sudijske </w:t>
      </w:r>
      <w:r w:rsidR="000D327A" w:rsidRPr="00B616D9">
        <w:t>funkcij</w:t>
      </w:r>
      <w:r w:rsidR="009C6226" w:rsidRPr="00B616D9">
        <w:t>e</w:t>
      </w:r>
      <w:r w:rsidR="000D327A" w:rsidRPr="00B616D9">
        <w:t xml:space="preserve">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14.</w:t>
      </w:r>
      <w:r w:rsidR="00E92379">
        <w:rPr>
          <w:b/>
        </w:rPr>
        <w:t xml:space="preserve"> </w:t>
      </w:r>
      <w:r w:rsidR="000D327A" w:rsidRPr="00B616D9">
        <w:t>Sudije moraju da rešavaju predmete bez uticaja bilo koje treće strane</w:t>
      </w:r>
      <w:r w:rsidR="00443BAD" w:rsidRPr="00B616D9">
        <w:t>.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15.</w:t>
      </w:r>
      <w:r w:rsidR="00E92379">
        <w:rPr>
          <w:b/>
        </w:rPr>
        <w:t xml:space="preserve"> </w:t>
      </w:r>
      <w:r w:rsidR="000D327A" w:rsidRPr="00B616D9">
        <w:t>Sudije moraju da budu nepristrasne. Nepristrasnost podrazumeva da sudije postupaju i d</w:t>
      </w:r>
      <w:r w:rsidR="00443BAD" w:rsidRPr="00B616D9">
        <w:t xml:space="preserve">a se smatra da </w:t>
      </w:r>
      <w:r w:rsidR="000D327A" w:rsidRPr="00B616D9">
        <w:t>postupaju po svim pitanjima bez predrasuda ili pre</w:t>
      </w:r>
      <w:r w:rsidR="0013604D" w:rsidRPr="00B616D9">
        <w:t>dubeđenja</w:t>
      </w:r>
      <w:r w:rsidR="000D327A" w:rsidRPr="00B616D9">
        <w:t xml:space="preserve">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16.</w:t>
      </w:r>
      <w:r w:rsidR="00E92379">
        <w:rPr>
          <w:b/>
        </w:rPr>
        <w:t xml:space="preserve"> </w:t>
      </w:r>
      <w:r w:rsidR="000D327A" w:rsidRPr="00B616D9">
        <w:t>Sudij</w:t>
      </w:r>
      <w:r w:rsidR="003D5CAF" w:rsidRPr="00B616D9">
        <w:t>e</w:t>
      </w:r>
      <w:r w:rsidR="000D327A" w:rsidRPr="00B616D9">
        <w:t xml:space="preserve"> moraju </w:t>
      </w:r>
      <w:r w:rsidR="003D5CAF" w:rsidRPr="00B616D9">
        <w:t xml:space="preserve">da postupaju jednako </w:t>
      </w:r>
      <w:r w:rsidR="000D327A" w:rsidRPr="00B616D9">
        <w:t xml:space="preserve">prema svim ljudima. To </w:t>
      </w:r>
      <w:r w:rsidR="004622BE">
        <w:t xml:space="preserve">podrazumeva </w:t>
      </w:r>
      <w:r w:rsidR="000D327A" w:rsidRPr="00B616D9">
        <w:t>da sudij</w:t>
      </w:r>
      <w:r w:rsidR="003D5CAF" w:rsidRPr="00B616D9">
        <w:t>eshvataju svakog pojedinca kao jedinstveno biće i da sv</w:t>
      </w:r>
      <w:r w:rsidR="004622BE">
        <w:t>akom</w:t>
      </w:r>
      <w:r w:rsidR="000D327A" w:rsidRPr="00B616D9">
        <w:t>omoguć</w:t>
      </w:r>
      <w:r w:rsidR="003D5CAF" w:rsidRPr="00B616D9">
        <w:t>uju</w:t>
      </w:r>
      <w:r w:rsidR="000D327A" w:rsidRPr="00B616D9">
        <w:t xml:space="preserve"> pravdu na koju ima prav</w:t>
      </w:r>
      <w:r w:rsidR="003D5CAF" w:rsidRPr="00B616D9">
        <w:t>o</w:t>
      </w:r>
      <w:r w:rsidR="000D327A" w:rsidRPr="00B616D9">
        <w:t xml:space="preserve"> tokom svih faza sudskog postupka.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17.</w:t>
      </w:r>
      <w:r w:rsidR="00E92379">
        <w:rPr>
          <w:b/>
        </w:rPr>
        <w:t xml:space="preserve"> </w:t>
      </w:r>
      <w:r w:rsidR="000D327A" w:rsidRPr="00B616D9">
        <w:t xml:space="preserve">Sudije moraju marljivo da rešavaju predmete i u </w:t>
      </w:r>
      <w:r w:rsidR="003D5CAF" w:rsidRPr="00B616D9">
        <w:t>roku</w:t>
      </w:r>
      <w:r w:rsidR="000D327A" w:rsidRPr="00B616D9">
        <w:t xml:space="preserve"> koji je razuman </w:t>
      </w:r>
      <w:r w:rsidR="0013604D" w:rsidRPr="00B616D9">
        <w:t>uzima</w:t>
      </w:r>
      <w:r w:rsidR="000D327A" w:rsidRPr="00B616D9">
        <w:t>jući u</w:t>
      </w:r>
      <w:r w:rsidR="0013604D" w:rsidRPr="00B616D9">
        <w:t xml:space="preserve"> obzir materiju o kojoj je reč</w:t>
      </w:r>
      <w:r w:rsidR="000D327A" w:rsidRPr="00B616D9">
        <w:t xml:space="preserve">. </w:t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T</w:t>
      </w:r>
      <w:r w:rsidR="00F11425" w:rsidRPr="00B616D9">
        <w:rPr>
          <w:b/>
          <w:u w:val="single"/>
        </w:rPr>
        <w:t>ema</w:t>
      </w:r>
      <w:r w:rsidRPr="00B616D9">
        <w:rPr>
          <w:b/>
          <w:u w:val="single"/>
        </w:rPr>
        <w:t xml:space="preserve"> 4: </w:t>
      </w:r>
      <w:r w:rsidR="003D5CAF" w:rsidRPr="00B616D9">
        <w:rPr>
          <w:b/>
          <w:u w:val="single"/>
        </w:rPr>
        <w:t>Izbor</w:t>
      </w:r>
      <w:r w:rsidR="00F11425" w:rsidRPr="00B616D9">
        <w:rPr>
          <w:b/>
          <w:u w:val="single"/>
        </w:rPr>
        <w:t>, imenovanje i unapređenje sudija</w:t>
      </w:r>
      <w:r w:rsidR="001369BA">
        <w:rPr>
          <w:rStyle w:val="EndnoteReference"/>
          <w:b/>
          <w:u w:val="single"/>
        </w:rPr>
        <w:endnoteReference w:id="12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18.</w:t>
      </w:r>
      <w:r w:rsidR="00E92379">
        <w:rPr>
          <w:b/>
        </w:rPr>
        <w:t xml:space="preserve"> </w:t>
      </w:r>
      <w:r w:rsidR="003D5CAF" w:rsidRPr="00B616D9">
        <w:t>Izbor</w:t>
      </w:r>
      <w:r w:rsidR="00F11425" w:rsidRPr="00B616D9">
        <w:t xml:space="preserve"> sudija koj</w:t>
      </w:r>
      <w:r w:rsidR="003D5CAF" w:rsidRPr="00B616D9">
        <w:t>i</w:t>
      </w:r>
      <w:r w:rsidR="00F11425" w:rsidRPr="00B616D9">
        <w:t xml:space="preserve"> će biti imenovan</w:t>
      </w:r>
      <w:r w:rsidR="003D5CAF" w:rsidRPr="00B616D9">
        <w:t xml:space="preserve">i </w:t>
      </w:r>
      <w:r w:rsidR="00F11425" w:rsidRPr="00B616D9">
        <w:t xml:space="preserve"> treba uvek vršiti isključivo na osnovu </w:t>
      </w:r>
      <w:r w:rsidR="0013604D" w:rsidRPr="00B616D9">
        <w:t xml:space="preserve">dostojnosti </w:t>
      </w:r>
      <w:r w:rsidR="00F11425" w:rsidRPr="00B616D9">
        <w:t xml:space="preserve">i </w:t>
      </w:r>
      <w:r w:rsidR="00290C63" w:rsidRPr="00B616D9">
        <w:t>kompeten</w:t>
      </w:r>
      <w:r w:rsidR="004622BE">
        <w:t>tnosti</w:t>
      </w:r>
      <w:r w:rsidR="00F11425" w:rsidRPr="00B616D9">
        <w:t xml:space="preserve">. Kriterijumi </w:t>
      </w:r>
      <w:r w:rsidR="0013604D" w:rsidRPr="00B616D9">
        <w:t>dostojnosti</w:t>
      </w:r>
      <w:r w:rsidR="00F11425" w:rsidRPr="00B616D9">
        <w:t xml:space="preserve"> i </w:t>
      </w:r>
      <w:r w:rsidR="00290C63" w:rsidRPr="00B616D9">
        <w:t>kompeten</w:t>
      </w:r>
      <w:r w:rsidR="004622BE">
        <w:t>tnosti</w:t>
      </w:r>
      <w:r w:rsidR="00F11425" w:rsidRPr="00B616D9">
        <w:t xml:space="preserve"> obuhvataju intelektualne i lične veštine, radnu etiku i veštine pis</w:t>
      </w:r>
      <w:r w:rsidR="0013604D" w:rsidRPr="00B616D9">
        <w:t>meno</w:t>
      </w:r>
      <w:r w:rsidR="00F11425" w:rsidRPr="00B616D9">
        <w:t>g i usmenog izražavanja.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19.</w:t>
      </w:r>
      <w:r w:rsidR="00E92379">
        <w:rPr>
          <w:b/>
        </w:rPr>
        <w:t xml:space="preserve"> </w:t>
      </w:r>
      <w:r w:rsidR="00F11425" w:rsidRPr="00B616D9">
        <w:t xml:space="preserve">Kriterijumi za </w:t>
      </w:r>
      <w:r w:rsidR="00290C63" w:rsidRPr="00B616D9">
        <w:t>izbor</w:t>
      </w:r>
      <w:r w:rsidR="0013604D" w:rsidRPr="00B616D9">
        <w:t xml:space="preserve">  i</w:t>
      </w:r>
      <w:r w:rsidR="00290C63" w:rsidRPr="00B616D9">
        <w:t>definisanekompetencije</w:t>
      </w:r>
      <w:r w:rsidR="00F11425" w:rsidRPr="00B616D9">
        <w:t xml:space="preserve"> u odnosu na koje se ocenjuju kandidati za sudske funkcije</w:t>
      </w:r>
      <w:r w:rsidR="0013604D" w:rsidRPr="00B616D9">
        <w:t xml:space="preserve"> treba da budu javni i dostupni</w:t>
      </w:r>
      <w:r w:rsidR="00F11425" w:rsidRPr="00B616D9">
        <w:t xml:space="preserve"> u svim fazama postupka imenovanja.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20.</w:t>
      </w:r>
      <w:r w:rsidR="00E92379">
        <w:rPr>
          <w:b/>
        </w:rPr>
        <w:t xml:space="preserve"> </w:t>
      </w:r>
      <w:r w:rsidR="00F11425" w:rsidRPr="00B616D9">
        <w:t>Postup</w:t>
      </w:r>
      <w:r w:rsidR="0013604D" w:rsidRPr="00B616D9">
        <w:t>ci</w:t>
      </w:r>
      <w:r w:rsidR="00F11425" w:rsidRPr="00B616D9">
        <w:t xml:space="preserve"> imenovanja i unapređenja sudija moraju da</w:t>
      </w:r>
      <w:r w:rsidRPr="00B616D9">
        <w:t xml:space="preserve">:-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13604D" w:rsidRPr="00B616D9">
        <w:t xml:space="preserve">budu sprovođeni od strane tela koja su </w:t>
      </w:r>
      <w:r w:rsidR="00F11425" w:rsidRPr="00B616D9">
        <w:t>nezavisna kako od zakonodavn</w:t>
      </w:r>
      <w:r w:rsidR="00290C63" w:rsidRPr="00B616D9">
        <w:t>e</w:t>
      </w:r>
      <w:r w:rsidR="00F11425" w:rsidRPr="00B616D9">
        <w:t xml:space="preserve"> tako i </w:t>
      </w:r>
      <w:r w:rsidR="00290C63" w:rsidRPr="00B616D9">
        <w:t xml:space="preserve">od </w:t>
      </w:r>
      <w:r w:rsidR="00F11425" w:rsidRPr="00B616D9">
        <w:t>izvršn</w:t>
      </w:r>
      <w:r w:rsidR="00290C63" w:rsidRPr="00B616D9">
        <w:t>e</w:t>
      </w:r>
      <w:r w:rsidR="00F11425" w:rsidRPr="00B616D9">
        <w:t xml:space="preserve"> vlasti a koja čine i trenutni nosioci sudskih funkcija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>(2)</w:t>
      </w:r>
      <w:r w:rsidR="00F97816">
        <w:t xml:space="preserve"> </w:t>
      </w:r>
      <w:r w:rsidR="00F11425" w:rsidRPr="00B616D9">
        <w:t xml:space="preserve">budu podložni </w:t>
      </w:r>
      <w:r w:rsidR="006F24D7" w:rsidRPr="00B616D9">
        <w:t xml:space="preserve">proveri </w:t>
      </w:r>
      <w:r w:rsidR="00F11425" w:rsidRPr="00B616D9">
        <w:t xml:space="preserve">javnosti i u potpunosti </w:t>
      </w:r>
      <w:r w:rsidR="00290C63" w:rsidRPr="00B616D9">
        <w:t xml:space="preserve">i </w:t>
      </w:r>
      <w:r w:rsidR="00F11425" w:rsidRPr="00B616D9">
        <w:t>valjano dokumentovani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>(3)</w:t>
      </w:r>
      <w:r w:rsidR="0013604D" w:rsidRPr="00B616D9">
        <w:t xml:space="preserve"> se sprovode </w:t>
      </w:r>
      <w:r w:rsidR="00F11425" w:rsidRPr="00B616D9">
        <w:t>u skladu sa objavljenim kriterijumima</w:t>
      </w:r>
      <w:r w:rsidRPr="00B616D9">
        <w:t xml:space="preserve">;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(4) </w:t>
      </w:r>
      <w:r w:rsidR="00241262" w:rsidRPr="00B616D9">
        <w:t>unapređ</w:t>
      </w:r>
      <w:r w:rsidR="00290C63" w:rsidRPr="00B616D9">
        <w:t>uju</w:t>
      </w:r>
      <w:r w:rsidR="00241262" w:rsidRPr="00B616D9">
        <w:t xml:space="preserve"> raznolikost </w:t>
      </w:r>
      <w:r w:rsidR="006F24D7" w:rsidRPr="00B616D9">
        <w:t>opsega kandidata</w:t>
      </w:r>
      <w:r w:rsidR="00241262" w:rsidRPr="00B616D9">
        <w:t xml:space="preserve">, pri čemu će </w:t>
      </w:r>
      <w:r w:rsidR="004622BE">
        <w:t xml:space="preserve">se </w:t>
      </w:r>
      <w:r w:rsidR="00241262" w:rsidRPr="00B616D9">
        <w:t>izbegavati sve vrste diskriminacije</w:t>
      </w:r>
      <w:r w:rsidRPr="00B616D9">
        <w:t xml:space="preserve">; </w:t>
      </w:r>
    </w:p>
    <w:p w:rsidR="006F24D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(5) </w:t>
      </w:r>
      <w:r w:rsidR="00241262" w:rsidRPr="00B616D9">
        <w:t>obuhvata</w:t>
      </w:r>
      <w:r w:rsidR="00290C63" w:rsidRPr="00B616D9">
        <w:t>ju</w:t>
      </w:r>
      <w:r w:rsidR="00241262" w:rsidRPr="00B616D9">
        <w:t xml:space="preserve"> isključivo konsultacije koje su otvorene, pravične i transparentne, pri čemu će se stavovi</w:t>
      </w:r>
      <w:r w:rsidR="0013604D" w:rsidRPr="00B616D9">
        <w:t xml:space="preserve"> o njima </w:t>
      </w:r>
      <w:r w:rsidR="00241262" w:rsidRPr="00B616D9">
        <w:t xml:space="preserve"> (a) odnositi na relevantne </w:t>
      </w:r>
      <w:r w:rsidR="00290C63" w:rsidRPr="00B616D9">
        <w:t>kompetencije</w:t>
      </w:r>
      <w:r w:rsidR="006F24D7" w:rsidRPr="00B616D9">
        <w:t xml:space="preserve"> ibiti </w:t>
      </w:r>
      <w:r w:rsidR="00241262" w:rsidRPr="00B616D9">
        <w:t xml:space="preserve">(b) </w:t>
      </w:r>
      <w:r w:rsidR="006F24D7" w:rsidRPr="00B616D9">
        <w:t xml:space="preserve">pismeno </w:t>
      </w:r>
      <w:r w:rsidR="00241262" w:rsidRPr="00B616D9">
        <w:t xml:space="preserve">dokumentovani, (c) dostupni </w:t>
      </w:r>
      <w:r w:rsidR="006F24D7" w:rsidRPr="00B616D9">
        <w:t>proveri</w:t>
      </w:r>
      <w:r w:rsidR="00241262" w:rsidRPr="00B616D9">
        <w:t xml:space="preserve">, i (e) zasnovani na dokazima.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(6) </w:t>
      </w:r>
      <w:r w:rsidR="00781B3F" w:rsidRPr="00B616D9">
        <w:t>obezbed</w:t>
      </w:r>
      <w:r w:rsidR="00B270E5" w:rsidRPr="00B616D9">
        <w:t xml:space="preserve">e obaveštavanje neuspešnih kandidata </w:t>
      </w:r>
      <w:r w:rsidR="00781B3F" w:rsidRPr="00B616D9">
        <w:t xml:space="preserve">o razlozima zašto nisu imenovani ili unapređeni; i </w:t>
      </w:r>
    </w:p>
    <w:p w:rsidR="00F232E7" w:rsidRPr="00B616D9" w:rsidRDefault="00F232E7" w:rsidP="00F97816">
      <w:pPr>
        <w:spacing w:after="120" w:line="240" w:lineRule="auto"/>
        <w:ind w:left="720"/>
        <w:jc w:val="both"/>
      </w:pPr>
      <w:r w:rsidRPr="00B616D9">
        <w:t xml:space="preserve">(7) </w:t>
      </w:r>
      <w:r w:rsidR="00781B3F" w:rsidRPr="00B616D9">
        <w:t>obezbed</w:t>
      </w:r>
      <w:r w:rsidR="00B270E5" w:rsidRPr="00B616D9">
        <w:t>e</w:t>
      </w:r>
      <w:r w:rsidR="00781B3F" w:rsidRPr="00B616D9">
        <w:t xml:space="preserve"> nezavisan postupak </w:t>
      </w:r>
      <w:r w:rsidR="00B270E5" w:rsidRPr="00B616D9">
        <w:t xml:space="preserve">za </w:t>
      </w:r>
      <w:r w:rsidR="00781B3F" w:rsidRPr="00B616D9">
        <w:t>osporavanj</w:t>
      </w:r>
      <w:r w:rsidR="00B270E5" w:rsidRPr="00B616D9">
        <w:t>e</w:t>
      </w:r>
      <w:r w:rsidR="00781B3F" w:rsidRPr="00B616D9">
        <w:t xml:space="preserve"> i </w:t>
      </w:r>
      <w:r w:rsidR="00B270E5" w:rsidRPr="00B616D9">
        <w:t>pritužbe</w:t>
      </w:r>
      <w:r w:rsidRPr="00B616D9">
        <w:t xml:space="preserve">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21.</w:t>
      </w:r>
      <w:r w:rsidR="00E92379">
        <w:rPr>
          <w:b/>
        </w:rPr>
        <w:t xml:space="preserve"> </w:t>
      </w:r>
      <w:r w:rsidR="00781B3F" w:rsidRPr="00B616D9">
        <w:t>Sv</w:t>
      </w:r>
      <w:r w:rsidR="004622BE">
        <w:t>e</w:t>
      </w:r>
      <w:r w:rsidR="00781B3F" w:rsidRPr="00B616D9">
        <w:t xml:space="preserve"> ulog</w:t>
      </w:r>
      <w:r w:rsidR="004622BE">
        <w:t>e</w:t>
      </w:r>
      <w:r w:rsidR="00781B3F" w:rsidRPr="00B616D9">
        <w:t xml:space="preserve"> vlade ili </w:t>
      </w:r>
      <w:r w:rsidR="00B270E5" w:rsidRPr="00B616D9">
        <w:t>šefa</w:t>
      </w:r>
      <w:r w:rsidR="00781B3F" w:rsidRPr="00B616D9">
        <w:t xml:space="preserve"> države u imenovanju sudija mora</w:t>
      </w:r>
      <w:r w:rsidR="004622BE">
        <w:t>ju</w:t>
      </w:r>
      <w:r w:rsidR="00781B3F" w:rsidRPr="00B616D9">
        <w:t xml:space="preserve"> biti jasno definisan</w:t>
      </w:r>
      <w:r w:rsidR="004622BE">
        <w:t>e</w:t>
      </w:r>
      <w:r w:rsidR="00B270E5" w:rsidRPr="00B616D9">
        <w:t>.</w:t>
      </w:r>
      <w:r w:rsidR="00781B3F" w:rsidRPr="00B616D9">
        <w:t xml:space="preserve"> Njihovi postupci odlučivanja moraju biti jasno dokumentovani.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22.</w:t>
      </w:r>
      <w:r w:rsidR="00E92379">
        <w:rPr>
          <w:b/>
        </w:rPr>
        <w:t xml:space="preserve"> </w:t>
      </w:r>
      <w:r w:rsidR="00781B3F" w:rsidRPr="00B616D9">
        <w:t xml:space="preserve">Tela zadužena za imenovanje i unapređenje sudija moraju biti adekvatno finansirana i moraju da usvoje procedure koje će garantovati poverljivost procesa. </w:t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T</w:t>
      </w:r>
      <w:r w:rsidR="00781B3F" w:rsidRPr="00B616D9">
        <w:rPr>
          <w:b/>
          <w:u w:val="single"/>
        </w:rPr>
        <w:t>ema</w:t>
      </w:r>
      <w:r w:rsidRPr="00B616D9">
        <w:rPr>
          <w:b/>
          <w:u w:val="single"/>
        </w:rPr>
        <w:t xml:space="preserve"> 5: </w:t>
      </w:r>
      <w:r w:rsidR="00B270E5" w:rsidRPr="00B616D9">
        <w:rPr>
          <w:b/>
          <w:u w:val="single"/>
        </w:rPr>
        <w:t>Plate</w:t>
      </w:r>
      <w:r w:rsidR="00781B3F" w:rsidRPr="00B616D9">
        <w:rPr>
          <w:b/>
          <w:u w:val="single"/>
        </w:rPr>
        <w:t xml:space="preserve"> sudij</w:t>
      </w:r>
      <w:r w:rsidR="00B270E5" w:rsidRPr="00B616D9">
        <w:rPr>
          <w:b/>
          <w:u w:val="single"/>
        </w:rPr>
        <w:t>a</w:t>
      </w:r>
      <w:r w:rsidR="001369BA">
        <w:rPr>
          <w:rStyle w:val="EndnoteReference"/>
          <w:b/>
          <w:u w:val="single"/>
        </w:rPr>
        <w:endnoteReference w:id="13"/>
      </w:r>
    </w:p>
    <w:p w:rsidR="00F232E7" w:rsidRPr="00B616D9" w:rsidRDefault="00F232E7" w:rsidP="00F97816">
      <w:pPr>
        <w:spacing w:after="0" w:line="240" w:lineRule="auto"/>
        <w:jc w:val="both"/>
      </w:pPr>
      <w:r w:rsidRPr="004215D8">
        <w:rPr>
          <w:b/>
        </w:rPr>
        <w:t>23.</w:t>
      </w:r>
      <w:r w:rsidR="00E92379">
        <w:rPr>
          <w:b/>
        </w:rPr>
        <w:t xml:space="preserve"> </w:t>
      </w:r>
      <w:r w:rsidR="00B270E5" w:rsidRPr="00B616D9">
        <w:t xml:space="preserve">Plate sudija </w:t>
      </w:r>
      <w:r w:rsidR="00781B3F" w:rsidRPr="00B616D9">
        <w:t>moraju</w:t>
      </w:r>
      <w:r w:rsidR="00E92379">
        <w:t>:</w:t>
      </w:r>
    </w:p>
    <w:p w:rsidR="00B270E5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781B3F" w:rsidRPr="00B616D9">
        <w:t xml:space="preserve">uvek da budu </w:t>
      </w:r>
      <w:r w:rsidR="00B270E5" w:rsidRPr="00B616D9">
        <w:t xml:space="preserve">srazmerne njihovim </w:t>
      </w:r>
      <w:r w:rsidR="00781B3F" w:rsidRPr="00B616D9">
        <w:t>profesionalnim o</w:t>
      </w:r>
      <w:r w:rsidR="00B270E5" w:rsidRPr="00B616D9">
        <w:t>bavezam</w:t>
      </w:r>
      <w:r w:rsidR="006F24D7" w:rsidRPr="00B616D9">
        <w:t>a</w:t>
      </w:r>
      <w:r w:rsidR="00781B3F" w:rsidRPr="00B616D9">
        <w:t xml:space="preserve"> i javnim dužnostima; i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(2) </w:t>
      </w:r>
      <w:r w:rsidR="00B270E5" w:rsidRPr="00B616D9">
        <w:t>da</w:t>
      </w:r>
      <w:r w:rsidR="00E92379">
        <w:t xml:space="preserve"> </w:t>
      </w:r>
      <w:r w:rsidR="00B270E5" w:rsidRPr="00B616D9">
        <w:t xml:space="preserve">budu </w:t>
      </w:r>
      <w:r w:rsidR="00781B3F" w:rsidRPr="00B616D9">
        <w:t xml:space="preserve">ustavno zagarantovane zakonom </w:t>
      </w:r>
      <w:r w:rsidR="004622BE">
        <w:t xml:space="preserve">radi očuvanja </w:t>
      </w:r>
      <w:r w:rsidR="00781B3F" w:rsidRPr="00B616D9">
        <w:t>sudsk</w:t>
      </w:r>
      <w:r w:rsidR="004622BE">
        <w:t>e</w:t>
      </w:r>
      <w:r w:rsidR="00781B3F" w:rsidRPr="00B616D9">
        <w:t xml:space="preserve"> nezavisnost</w:t>
      </w:r>
      <w:r w:rsidR="004622BE">
        <w:t>i</w:t>
      </w:r>
      <w:r w:rsidR="00781B3F" w:rsidRPr="00B616D9">
        <w:t xml:space="preserve"> i nepristrasnost</w:t>
      </w:r>
      <w:r w:rsidR="004622BE">
        <w:t>i</w:t>
      </w:r>
      <w:r w:rsidR="00781B3F" w:rsidRPr="00B616D9">
        <w:t xml:space="preserve">. </w:t>
      </w:r>
    </w:p>
    <w:p w:rsidR="00067CBD" w:rsidRPr="00B616D9" w:rsidRDefault="00F232E7" w:rsidP="00F97816">
      <w:pPr>
        <w:spacing w:line="240" w:lineRule="auto"/>
        <w:jc w:val="both"/>
      </w:pPr>
      <w:r w:rsidRPr="004215D8">
        <w:rPr>
          <w:b/>
        </w:rPr>
        <w:t>24.</w:t>
      </w:r>
      <w:r w:rsidR="00E92379">
        <w:rPr>
          <w:b/>
        </w:rPr>
        <w:t xml:space="preserve"> </w:t>
      </w:r>
      <w:r w:rsidR="00781B3F" w:rsidRPr="00B616D9">
        <w:t xml:space="preserve">Pravosuđe treba da bude uključeno u sve razgovore i pregovore vezane za </w:t>
      </w:r>
      <w:r w:rsidR="00B270E5" w:rsidRPr="00B616D9">
        <w:t xml:space="preserve">plate sudija. </w:t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lastRenderedPageBreak/>
        <w:t>Tem</w:t>
      </w:r>
      <w:r w:rsidR="00067CBD" w:rsidRPr="00B616D9">
        <w:rPr>
          <w:b/>
          <w:u w:val="single"/>
        </w:rPr>
        <w:t>a</w:t>
      </w:r>
      <w:r w:rsidRPr="00B616D9">
        <w:rPr>
          <w:b/>
          <w:u w:val="single"/>
        </w:rPr>
        <w:t xml:space="preserve"> 6: </w:t>
      </w:r>
      <w:r w:rsidR="006F24D7" w:rsidRPr="00B616D9">
        <w:rPr>
          <w:b/>
          <w:u w:val="single"/>
        </w:rPr>
        <w:t>Obuka sudija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25.</w:t>
      </w:r>
      <w:r w:rsidR="00E92379">
        <w:rPr>
          <w:b/>
        </w:rPr>
        <w:t xml:space="preserve"> </w:t>
      </w:r>
      <w:r w:rsidR="00781B3F" w:rsidRPr="00B616D9">
        <w:t>Sudij</w:t>
      </w:r>
      <w:r w:rsidR="00067CBD" w:rsidRPr="00B616D9">
        <w:t>ama</w:t>
      </w:r>
      <w:r w:rsidR="00781B3F" w:rsidRPr="00B616D9">
        <w:t xml:space="preserve"> tokom cele profesionalne karijere mora biti obezbeđena visoko kvalitetna obuka.</w:t>
      </w:r>
      <w:r w:rsidR="001369BA">
        <w:rPr>
          <w:rStyle w:val="EndnoteReference"/>
        </w:rPr>
        <w:endnoteReference w:id="14"/>
      </w:r>
      <w:r w:rsidR="00067CBD" w:rsidRPr="00B616D9">
        <w:t xml:space="preserve"> P</w:t>
      </w:r>
      <w:r w:rsidR="00781B3F" w:rsidRPr="00B616D9">
        <w:t>ropisnom obukom se unapređuj</w:t>
      </w:r>
      <w:r w:rsidR="00067CBD" w:rsidRPr="00B616D9">
        <w:t xml:space="preserve">e donošenje </w:t>
      </w:r>
      <w:r w:rsidR="00781B3F" w:rsidRPr="00B616D9">
        <w:t>visokokvalitetn</w:t>
      </w:r>
      <w:r w:rsidR="00067CBD" w:rsidRPr="00B616D9">
        <w:t>ih</w:t>
      </w:r>
      <w:r w:rsidR="00781B3F" w:rsidRPr="00B616D9">
        <w:t xml:space="preserve"> i blagovremen</w:t>
      </w:r>
      <w:r w:rsidR="00067CBD" w:rsidRPr="00B616D9">
        <w:t>ih</w:t>
      </w:r>
      <w:r w:rsidR="00781B3F" w:rsidRPr="00B616D9">
        <w:t xml:space="preserve"> sudsk</w:t>
      </w:r>
      <w:r w:rsidR="00067CBD" w:rsidRPr="00B616D9">
        <w:t>ih</w:t>
      </w:r>
      <w:r w:rsidR="00781B3F" w:rsidRPr="00B616D9">
        <w:t xml:space="preserve"> odluk</w:t>
      </w:r>
      <w:r w:rsidR="00067CBD" w:rsidRPr="00B616D9">
        <w:t>a</w:t>
      </w:r>
      <w:r w:rsidR="00781B3F" w:rsidRPr="00B616D9">
        <w:t>, koje pak jačaju predvidljivost i pravnu sigurnost.</w:t>
      </w:r>
      <w:r w:rsidR="001369BA">
        <w:rPr>
          <w:rStyle w:val="EndnoteReference"/>
        </w:rPr>
        <w:endnoteReference w:id="15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26.</w:t>
      </w:r>
      <w:r w:rsidR="00E92379">
        <w:rPr>
          <w:b/>
        </w:rPr>
        <w:t xml:space="preserve"> </w:t>
      </w:r>
      <w:r w:rsidR="00781B3F" w:rsidRPr="00B616D9">
        <w:t xml:space="preserve">Telo zaduženo za obuku sudija, </w:t>
      </w:r>
      <w:r w:rsidR="00067CBD" w:rsidRPr="00B616D9">
        <w:t xml:space="preserve">u slučaju da </w:t>
      </w:r>
      <w:r w:rsidR="00781B3F" w:rsidRPr="00B616D9">
        <w:t xml:space="preserve">to nije sam </w:t>
      </w:r>
      <w:r w:rsidR="00067CBD" w:rsidRPr="00B616D9">
        <w:t>s</w:t>
      </w:r>
      <w:r w:rsidR="00781B3F" w:rsidRPr="00B616D9">
        <w:t xml:space="preserve">avet pravosuđa, treba da bude samostalno i </w:t>
      </w:r>
      <w:r w:rsidR="007936EA" w:rsidRPr="00B616D9">
        <w:t xml:space="preserve">da </w:t>
      </w:r>
      <w:r w:rsidR="00781B3F" w:rsidRPr="00B616D9">
        <w:t xml:space="preserve">raspolaže sopstvenim budžetom. Njega treba da nadzire </w:t>
      </w:r>
      <w:r w:rsidR="00067CBD" w:rsidRPr="00B616D9">
        <w:t>s</w:t>
      </w:r>
      <w:r w:rsidR="00781B3F" w:rsidRPr="00B616D9">
        <w:t>avet pravosuđa i</w:t>
      </w:r>
      <w:r w:rsidR="00067CBD" w:rsidRPr="00B616D9">
        <w:t>/ili</w:t>
      </w:r>
      <w:r w:rsidR="00781B3F" w:rsidRPr="00B616D9">
        <w:t xml:space="preserve"> ono treba da bude </w:t>
      </w:r>
      <w:r w:rsidR="00067CBD" w:rsidRPr="00B616D9">
        <w:t xml:space="preserve">u obavezi </w:t>
      </w:r>
      <w:r w:rsidR="00C14777" w:rsidRPr="00B616D9">
        <w:t xml:space="preserve">da se pridržava smernica koje promoviše </w:t>
      </w:r>
      <w:r w:rsidR="007936EA" w:rsidRPr="00B616D9">
        <w:t>s</w:t>
      </w:r>
      <w:r w:rsidR="00C14777" w:rsidRPr="00B616D9">
        <w:t>avet pravosuđa</w:t>
      </w:r>
      <w:r w:rsidRPr="00B616D9">
        <w:t>.</w:t>
      </w:r>
      <w:r w:rsidR="001369BA">
        <w:rPr>
          <w:rStyle w:val="EndnoteReference"/>
        </w:rPr>
        <w:endnoteReference w:id="16"/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T</w:t>
      </w:r>
      <w:r w:rsidR="00C14777" w:rsidRPr="00B616D9">
        <w:rPr>
          <w:b/>
          <w:u w:val="single"/>
        </w:rPr>
        <w:t>ema</w:t>
      </w:r>
      <w:r w:rsidRPr="00B616D9">
        <w:rPr>
          <w:b/>
          <w:u w:val="single"/>
        </w:rPr>
        <w:t xml:space="preserve"> 7: </w:t>
      </w:r>
      <w:r w:rsidR="00C14777" w:rsidRPr="00B616D9">
        <w:rPr>
          <w:b/>
          <w:u w:val="single"/>
        </w:rPr>
        <w:t xml:space="preserve">Tužioci </w:t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27.</w:t>
      </w:r>
      <w:r w:rsidR="00E92379">
        <w:rPr>
          <w:b/>
        </w:rPr>
        <w:t xml:space="preserve"> </w:t>
      </w:r>
      <w:r w:rsidR="00C14777" w:rsidRPr="00B616D9">
        <w:t>Mora se jemčiti samostalnost krivičnih istraga a njihove ishode mora da prati nezavisno telo</w:t>
      </w:r>
      <w:r w:rsidRPr="00B616D9">
        <w:t>.</w:t>
      </w:r>
      <w:r w:rsidR="001369BA">
        <w:rPr>
          <w:rStyle w:val="EndnoteReference"/>
        </w:rPr>
        <w:endnoteReference w:id="17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28.</w:t>
      </w:r>
      <w:r w:rsidR="00E92379">
        <w:rPr>
          <w:b/>
        </w:rPr>
        <w:t xml:space="preserve"> </w:t>
      </w:r>
      <w:r w:rsidR="00C14777" w:rsidRPr="00B616D9">
        <w:t xml:space="preserve">Moraju </w:t>
      </w:r>
      <w:r w:rsidR="00577FD4" w:rsidRPr="00B616D9">
        <w:t xml:space="preserve">da </w:t>
      </w:r>
      <w:r w:rsidR="00C14777" w:rsidRPr="00B616D9">
        <w:t>postoj</w:t>
      </w:r>
      <w:r w:rsidR="00577FD4" w:rsidRPr="00B616D9">
        <w:t>e</w:t>
      </w:r>
      <w:r w:rsidR="00C14777" w:rsidRPr="00B616D9">
        <w:t xml:space="preserve"> snažni zaštitni mehanizmi koji će obezbe</w:t>
      </w:r>
      <w:r w:rsidR="00577FD4" w:rsidRPr="00B616D9">
        <w:t>đivati</w:t>
      </w:r>
      <w:r w:rsidR="00C14777" w:rsidRPr="00B616D9">
        <w:t xml:space="preserve"> samostalnost i nezavisnost tela zaduženih za sprovođenje istraga kako bi se istražil</w:t>
      </w:r>
      <w:r w:rsidR="00577FD4" w:rsidRPr="00B616D9">
        <w:t>a</w:t>
      </w:r>
      <w:r w:rsidR="00C14777" w:rsidRPr="00B616D9">
        <w:t xml:space="preserve"> sva del</w:t>
      </w:r>
      <w:r w:rsidR="00577FD4" w:rsidRPr="00B616D9">
        <w:t>a</w:t>
      </w:r>
      <w:r w:rsidR="00C14777" w:rsidRPr="00B616D9">
        <w:t xml:space="preserve">, naročito ona koja su izvršila lica </w:t>
      </w:r>
      <w:r w:rsidR="00577FD4" w:rsidRPr="00B616D9">
        <w:t>koja imaju</w:t>
      </w:r>
      <w:r w:rsidR="00C14777" w:rsidRPr="00B616D9">
        <w:t xml:space="preserve"> političk</w:t>
      </w:r>
      <w:r w:rsidR="00577FD4" w:rsidRPr="00B616D9">
        <w:t>u</w:t>
      </w:r>
      <w:r w:rsidR="00C14777" w:rsidRPr="00B616D9">
        <w:t xml:space="preserve"> ili ekonomsk</w:t>
      </w:r>
      <w:r w:rsidR="00577FD4" w:rsidRPr="00B616D9">
        <w:t>u</w:t>
      </w:r>
      <w:r w:rsidR="00C14777" w:rsidRPr="00B616D9">
        <w:t xml:space="preserve"> moć</w:t>
      </w:r>
      <w:r w:rsidRPr="00B616D9">
        <w:t>.</w:t>
      </w:r>
      <w:r w:rsidR="001369BA">
        <w:rPr>
          <w:rStyle w:val="EndnoteReference"/>
        </w:rPr>
        <w:endnoteReference w:id="18"/>
      </w:r>
    </w:p>
    <w:p w:rsidR="00F232E7" w:rsidRPr="00B616D9" w:rsidRDefault="00C14777" w:rsidP="00F97816">
      <w:pPr>
        <w:spacing w:line="240" w:lineRule="auto"/>
        <w:jc w:val="both"/>
        <w:rPr>
          <w:vertAlign w:val="superscript"/>
        </w:rPr>
      </w:pPr>
      <w:r w:rsidRPr="00B616D9">
        <w:rPr>
          <w:b/>
          <w:u w:val="single"/>
        </w:rPr>
        <w:t>Tema</w:t>
      </w:r>
      <w:r w:rsidR="00F232E7" w:rsidRPr="00B616D9">
        <w:rPr>
          <w:b/>
          <w:u w:val="single"/>
        </w:rPr>
        <w:t xml:space="preserve"> 8: </w:t>
      </w:r>
      <w:r w:rsidRPr="00B616D9">
        <w:rPr>
          <w:b/>
          <w:u w:val="single"/>
        </w:rPr>
        <w:t>Upravljanje kvalitetom</w:t>
      </w:r>
      <w:r w:rsidR="001369BA">
        <w:rPr>
          <w:rStyle w:val="EndnoteReference"/>
          <w:b/>
          <w:u w:val="single"/>
        </w:rPr>
        <w:endnoteReference w:id="19"/>
      </w:r>
    </w:p>
    <w:p w:rsidR="00577FD4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29.</w:t>
      </w:r>
      <w:r w:rsidR="00E92379">
        <w:rPr>
          <w:b/>
        </w:rPr>
        <w:t xml:space="preserve"> </w:t>
      </w:r>
      <w:r w:rsidR="00C14777" w:rsidRPr="00B616D9">
        <w:t xml:space="preserve">Kvalitet pravde koja se </w:t>
      </w:r>
      <w:r w:rsidR="00577FD4" w:rsidRPr="00B616D9">
        <w:t>sprovodi</w:t>
      </w:r>
      <w:r w:rsidR="00C14777" w:rsidRPr="00B616D9">
        <w:t xml:space="preserve"> je od </w:t>
      </w:r>
      <w:r w:rsidR="00577FD4" w:rsidRPr="00B616D9">
        <w:t>vrhunskog</w:t>
      </w:r>
      <w:r w:rsidR="00C14777" w:rsidRPr="00B616D9">
        <w:t xml:space="preserve"> značaja </w:t>
      </w:r>
      <w:r w:rsidR="00577FD4" w:rsidRPr="00B616D9">
        <w:t xml:space="preserve">i mora se </w:t>
      </w:r>
      <w:r w:rsidR="00C14777" w:rsidRPr="00B616D9">
        <w:t xml:space="preserve">uzimati u obzir u </w:t>
      </w:r>
      <w:r w:rsidR="00577FD4" w:rsidRPr="00B616D9">
        <w:t xml:space="preserve">vezi sa svim aktivnostima </w:t>
      </w:r>
      <w:r w:rsidR="00C14777" w:rsidRPr="00B616D9">
        <w:t xml:space="preserve">koje sudije preduzimaju. </w:t>
      </w:r>
    </w:p>
    <w:p w:rsidR="00F232E7" w:rsidRPr="00B616D9" w:rsidRDefault="00F232E7" w:rsidP="00F97816">
      <w:pPr>
        <w:spacing w:after="0" w:line="240" w:lineRule="auto"/>
        <w:jc w:val="both"/>
      </w:pPr>
      <w:r w:rsidRPr="004215D8">
        <w:rPr>
          <w:b/>
        </w:rPr>
        <w:t>30.</w:t>
      </w:r>
      <w:r w:rsidR="00E92379">
        <w:rPr>
          <w:b/>
        </w:rPr>
        <w:t xml:space="preserve"> </w:t>
      </w:r>
      <w:r w:rsidR="00C14777" w:rsidRPr="00B616D9">
        <w:t>Osnovna načela upravljanja kvalitetom obuhvataju</w:t>
      </w:r>
      <w:r w:rsidRPr="00B616D9">
        <w:t xml:space="preserve">:- </w:t>
      </w:r>
    </w:p>
    <w:p w:rsidR="00EE0198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(1) </w:t>
      </w:r>
      <w:r w:rsidR="00C14777" w:rsidRPr="00B616D9">
        <w:t xml:space="preserve">Mora postojati jasno razumevanje zahteva i očekivanja korisnika suda i ostalih zainteresovanih strana.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(2) </w:t>
      </w:r>
      <w:r w:rsidR="00C14777" w:rsidRPr="00B616D9">
        <w:t xml:space="preserve">Potrebno je formulisati ciljeve vezane za kvalitet koji će omogućiti zadovoljavanje tih zahteva i očekivanja. 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(3) </w:t>
      </w:r>
      <w:r w:rsidR="00C14777" w:rsidRPr="00B616D9">
        <w:t>Politika upravljanja kvalitetom treba da ima za cilj stalno poboljšanje</w:t>
      </w:r>
      <w:r w:rsidR="00B616D9" w:rsidRPr="00B616D9">
        <w:t xml:space="preserve"> kvaliteta</w:t>
      </w:r>
      <w:r w:rsidR="00C14777" w:rsidRPr="00B616D9">
        <w:t>.</w:t>
      </w:r>
    </w:p>
    <w:p w:rsidR="00F232E7" w:rsidRPr="00B616D9" w:rsidRDefault="00F232E7" w:rsidP="00F97816">
      <w:pPr>
        <w:spacing w:after="0" w:line="240" w:lineRule="auto"/>
        <w:ind w:left="720"/>
        <w:jc w:val="both"/>
      </w:pPr>
      <w:r w:rsidRPr="00B616D9">
        <w:t xml:space="preserve">(4) </w:t>
      </w:r>
      <w:r w:rsidR="00C14777" w:rsidRPr="00B616D9">
        <w:t xml:space="preserve">Odluke vezane za upravljanje kvalitetom treba da budu zasnovane na dokazima. </w:t>
      </w:r>
    </w:p>
    <w:p w:rsidR="00F232E7" w:rsidRPr="00B616D9" w:rsidRDefault="00F232E7" w:rsidP="00F97816">
      <w:pPr>
        <w:spacing w:after="120" w:line="240" w:lineRule="auto"/>
        <w:ind w:left="720"/>
        <w:jc w:val="both"/>
      </w:pPr>
      <w:r w:rsidRPr="00B616D9">
        <w:t xml:space="preserve">(5) </w:t>
      </w:r>
      <w:r w:rsidR="00C14777" w:rsidRPr="00B616D9">
        <w:t>Sudska uprava mora da d</w:t>
      </w:r>
      <w:r w:rsidR="00B616D9" w:rsidRPr="00B616D9">
        <w:t xml:space="preserve">emonstrira </w:t>
      </w:r>
      <w:r w:rsidR="00C14777" w:rsidRPr="00B616D9">
        <w:t xml:space="preserve">svoju </w:t>
      </w:r>
      <w:r w:rsidR="00B616D9" w:rsidRPr="00B616D9">
        <w:t xml:space="preserve">posvećenost kvalitetu. </w:t>
      </w:r>
    </w:p>
    <w:p w:rsidR="00F232E7" w:rsidRPr="00B616D9" w:rsidRDefault="00F232E7" w:rsidP="00F97816">
      <w:pPr>
        <w:spacing w:line="240" w:lineRule="auto"/>
        <w:jc w:val="both"/>
        <w:rPr>
          <w:b/>
          <w:u w:val="single"/>
        </w:rPr>
      </w:pPr>
      <w:r w:rsidRPr="00B616D9">
        <w:rPr>
          <w:b/>
          <w:u w:val="single"/>
        </w:rPr>
        <w:t>T</w:t>
      </w:r>
      <w:r w:rsidR="00EE0198" w:rsidRPr="00B616D9">
        <w:rPr>
          <w:b/>
          <w:u w:val="single"/>
        </w:rPr>
        <w:t>ema</w:t>
      </w:r>
      <w:r w:rsidRPr="00B616D9">
        <w:rPr>
          <w:b/>
          <w:u w:val="single"/>
        </w:rPr>
        <w:t xml:space="preserve"> 9: </w:t>
      </w:r>
      <w:r w:rsidR="00C14777" w:rsidRPr="00B616D9">
        <w:rPr>
          <w:b/>
          <w:u w:val="single"/>
        </w:rPr>
        <w:t>Upravljanje predmetima</w:t>
      </w:r>
      <w:r w:rsidR="001369BA">
        <w:rPr>
          <w:rStyle w:val="EndnoteReference"/>
          <w:b/>
          <w:u w:val="single"/>
        </w:rPr>
        <w:endnoteReference w:id="20"/>
      </w:r>
      <w:r w:rsidR="00C14777" w:rsidRPr="00B616D9">
        <w:rPr>
          <w:b/>
          <w:u w:val="single"/>
        </w:rPr>
        <w:t>i blagovremenost</w:t>
      </w:r>
      <w:r w:rsidR="001369BA">
        <w:rPr>
          <w:rStyle w:val="EndnoteReference"/>
          <w:b/>
          <w:u w:val="single"/>
        </w:rPr>
        <w:endnoteReference w:id="21"/>
      </w:r>
    </w:p>
    <w:p w:rsidR="00F232E7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31.</w:t>
      </w:r>
      <w:r w:rsidR="00E92379">
        <w:rPr>
          <w:b/>
        </w:rPr>
        <w:t xml:space="preserve"> </w:t>
      </w:r>
      <w:r w:rsidR="00C14777" w:rsidRPr="00B616D9">
        <w:t>Interesi pravde iziskuju brzinu a brzina se poboljšava samo upravljanjem predmetima. Shodno tome, delotvorno upravljanje predmetima sudijama omoguć</w:t>
      </w:r>
      <w:r w:rsidR="00FE2813" w:rsidRPr="00B616D9">
        <w:t>uje</w:t>
      </w:r>
      <w:r w:rsidR="00C14777" w:rsidRPr="00B616D9">
        <w:t xml:space="preserve"> da obezbe</w:t>
      </w:r>
      <w:r w:rsidR="00FE2813" w:rsidRPr="00B616D9">
        <w:t>đuju</w:t>
      </w:r>
      <w:r w:rsidR="00C14777" w:rsidRPr="00B616D9">
        <w:t xml:space="preserve"> pravično i blagovremeno rešavanje predmeta uz srazmerne troškove. </w:t>
      </w:r>
    </w:p>
    <w:p w:rsidR="00CB324B" w:rsidRPr="00B616D9" w:rsidRDefault="00F232E7" w:rsidP="00F97816">
      <w:pPr>
        <w:spacing w:after="120" w:line="240" w:lineRule="auto"/>
        <w:jc w:val="both"/>
      </w:pPr>
      <w:r w:rsidRPr="004215D8">
        <w:rPr>
          <w:b/>
        </w:rPr>
        <w:t>32.</w:t>
      </w:r>
      <w:r w:rsidR="00E92379">
        <w:rPr>
          <w:b/>
        </w:rPr>
        <w:t xml:space="preserve"> </w:t>
      </w:r>
      <w:r w:rsidR="00F008DF" w:rsidRPr="00B616D9">
        <w:t>I</w:t>
      </w:r>
      <w:r w:rsidR="00B616D9" w:rsidRPr="00B616D9">
        <w:t xml:space="preserve">zjava </w:t>
      </w:r>
      <w:r w:rsidR="00F008DF" w:rsidRPr="00B616D9">
        <w:t xml:space="preserve">da je „zakasnela pravda jednaka </w:t>
      </w:r>
      <w:r w:rsidR="00B616D9" w:rsidRPr="00B616D9">
        <w:t>uskraćivanju</w:t>
      </w:r>
      <w:r w:rsidR="00F008DF" w:rsidRPr="00B616D9">
        <w:t xml:space="preserve"> pravde“</w:t>
      </w:r>
      <w:r w:rsidR="00B616D9" w:rsidRPr="00B616D9">
        <w:t xml:space="preserve"> je tačna</w:t>
      </w:r>
      <w:r w:rsidR="00F008DF" w:rsidRPr="00B616D9">
        <w:t>. Mora se</w:t>
      </w:r>
      <w:r w:rsidR="00FE2813" w:rsidRPr="00B616D9">
        <w:t>, međutim,</w:t>
      </w:r>
      <w:r w:rsidR="00F008DF" w:rsidRPr="00B616D9">
        <w:t xml:space="preserve"> posti</w:t>
      </w:r>
      <w:r w:rsidR="00FE2813" w:rsidRPr="00B616D9">
        <w:t>ći</w:t>
      </w:r>
      <w:r w:rsidR="00F008DF" w:rsidRPr="00B616D9">
        <w:t xml:space="preserve"> ravnoteža između blagovremenosti i ostalih aspekata rada sudija. Kvalitet odlučivanja treba da bude od vrhunskog prioriteta. </w:t>
      </w:r>
    </w:p>
    <w:p w:rsidR="00380F8A" w:rsidRPr="00B616D9" w:rsidRDefault="00B616D9" w:rsidP="00F97816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33. </w:t>
      </w:r>
      <w:r w:rsidRPr="00B616D9">
        <w:rPr>
          <w:rFonts w:cs="Calibri"/>
          <w:color w:val="000000"/>
        </w:rPr>
        <w:t xml:space="preserve">Uvođenjem novih </w:t>
      </w:r>
      <w:r w:rsidR="00380F8A">
        <w:rPr>
          <w:rFonts w:cs="Calibri"/>
          <w:color w:val="000000"/>
        </w:rPr>
        <w:t xml:space="preserve">tehnologija se poboljšava upravljanje predmetima, pristup pravdi i kvalitet pravde. Sudije, saveti pravosuđa i sve ostale zainteresovane strane treba proaktivno da se angažuju u tim procesima. </w:t>
      </w:r>
    </w:p>
    <w:p w:rsidR="00B616D9" w:rsidRDefault="00B616D9" w:rsidP="00F97816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34. </w:t>
      </w:r>
      <w:r w:rsidR="00380F8A" w:rsidRPr="00380F8A">
        <w:rPr>
          <w:rFonts w:cs="Calibri,Bold"/>
          <w:bCs/>
          <w:color w:val="000000"/>
        </w:rPr>
        <w:t>Blagovremenost sprovođenja pravde iziskuje saradnju izvršnih i zakonodavnih grana vlasti, saveta pravosuđ</w:t>
      </w:r>
      <w:r w:rsidR="00380F8A">
        <w:rPr>
          <w:rFonts w:cs="Calibri,Bold"/>
          <w:bCs/>
          <w:color w:val="000000"/>
        </w:rPr>
        <w:t>a</w:t>
      </w:r>
      <w:r w:rsidR="00380F8A" w:rsidRPr="00380F8A">
        <w:rPr>
          <w:rFonts w:cs="Calibri,Bold"/>
          <w:bCs/>
          <w:color w:val="000000"/>
        </w:rPr>
        <w:t xml:space="preserve">, sudskih </w:t>
      </w:r>
      <w:r w:rsidR="00380F8A">
        <w:rPr>
          <w:rFonts w:cs="Calibri,Bold"/>
          <w:bCs/>
          <w:color w:val="000000"/>
        </w:rPr>
        <w:t>administracija</w:t>
      </w:r>
      <w:r w:rsidR="00380F8A" w:rsidRPr="00380F8A">
        <w:rPr>
          <w:rFonts w:cs="Calibri,Bold"/>
          <w:bCs/>
          <w:color w:val="000000"/>
        </w:rPr>
        <w:t xml:space="preserve">, sudija i zaposlenih u sudu, kao i advokata i tužilaca. </w:t>
      </w:r>
    </w:p>
    <w:p w:rsidR="00B616D9" w:rsidRPr="00B616D9" w:rsidRDefault="00B616D9" w:rsidP="00F97816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35. </w:t>
      </w:r>
      <w:r w:rsidR="00380F8A">
        <w:rPr>
          <w:rFonts w:cs="Calibri"/>
          <w:color w:val="000000"/>
        </w:rPr>
        <w:t xml:space="preserve">Sudije uvek moraju da </w:t>
      </w:r>
      <w:r w:rsidR="004622BE">
        <w:rPr>
          <w:rFonts w:cs="Calibri"/>
          <w:color w:val="000000"/>
        </w:rPr>
        <w:t>ocenjuju</w:t>
      </w:r>
      <w:r w:rsidR="00380F8A">
        <w:rPr>
          <w:rFonts w:cs="Calibri"/>
          <w:color w:val="000000"/>
        </w:rPr>
        <w:t xml:space="preserve"> izmene u sudskoj praksi koje predlažu saveti pravosuđa ili sudske administracije kako bi štitili nezavisnost pravosuđa</w:t>
      </w:r>
      <w:r w:rsidRPr="00B616D9">
        <w:rPr>
          <w:rFonts w:cs="Calibri"/>
          <w:color w:val="000000"/>
        </w:rPr>
        <w:t>.</w:t>
      </w:r>
    </w:p>
    <w:p w:rsidR="00380F8A" w:rsidRPr="00B616D9" w:rsidRDefault="00B616D9" w:rsidP="00F97816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36. </w:t>
      </w:r>
      <w:r w:rsidR="00380F8A">
        <w:rPr>
          <w:rFonts w:cs="Calibri"/>
          <w:color w:val="000000"/>
        </w:rPr>
        <w:t xml:space="preserve">Saveti pravosuđa treba da postižu blagovremenost analizom problema njihovih sudskih sistema, utvrđivanjem korektivnih mera, razmatranjem efekata predloženih korektivnih mera i uspostavljanjem metoda za merenje rezultata a pre sprovođenja tih mera. </w:t>
      </w:r>
    </w:p>
    <w:p w:rsidR="00B616D9" w:rsidRPr="00B616D9" w:rsidRDefault="00B616D9" w:rsidP="00F97816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37. </w:t>
      </w:r>
      <w:r w:rsidR="00E92379">
        <w:rPr>
          <w:rFonts w:cs="Calibri,Bold"/>
          <w:b/>
          <w:bCs/>
          <w:color w:val="000000"/>
        </w:rPr>
        <w:t xml:space="preserve"> </w:t>
      </w:r>
      <w:r w:rsidR="00380F8A" w:rsidRPr="00380F8A">
        <w:rPr>
          <w:rFonts w:cs="Calibri,Bold"/>
          <w:bCs/>
          <w:color w:val="000000"/>
        </w:rPr>
        <w:t>Sledeći su mehanizmi korisni za unapređenje upravljanja predmetima i blagovremenosti</w:t>
      </w:r>
      <w:r w:rsidRPr="00B616D9">
        <w:rPr>
          <w:rFonts w:cs="Calibri"/>
          <w:color w:val="000000"/>
        </w:rPr>
        <w:t>:-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C90A88">
        <w:rPr>
          <w:rFonts w:cs="Calibri"/>
          <w:color w:val="000000"/>
        </w:rPr>
        <w:t>S</w:t>
      </w:r>
      <w:r w:rsidR="00380F8A">
        <w:rPr>
          <w:rFonts w:cs="Calibri"/>
          <w:color w:val="000000"/>
        </w:rPr>
        <w:t>tatističk</w:t>
      </w:r>
      <w:r w:rsidR="004622BE">
        <w:rPr>
          <w:rFonts w:cs="Calibri"/>
          <w:color w:val="000000"/>
        </w:rPr>
        <w:t>i</w:t>
      </w:r>
      <w:r w:rsidR="00380F8A">
        <w:rPr>
          <w:rFonts w:cs="Calibri"/>
          <w:color w:val="000000"/>
        </w:rPr>
        <w:t xml:space="preserve"> poda</w:t>
      </w:r>
      <w:r w:rsidR="004622BE">
        <w:rPr>
          <w:rFonts w:cs="Calibri"/>
          <w:color w:val="000000"/>
        </w:rPr>
        <w:t>ci</w:t>
      </w:r>
      <w:r w:rsidR="00380F8A">
        <w:rPr>
          <w:rFonts w:cs="Calibri"/>
          <w:color w:val="000000"/>
        </w:rPr>
        <w:t xml:space="preserve"> za svaki sud</w:t>
      </w:r>
      <w:r w:rsidR="004622BE">
        <w:rPr>
          <w:rFonts w:cs="Calibri"/>
          <w:color w:val="000000"/>
        </w:rPr>
        <w:t>, koje</w:t>
      </w:r>
      <w:r w:rsidR="00BD5054">
        <w:rPr>
          <w:rFonts w:cs="Calibri"/>
          <w:color w:val="000000"/>
        </w:rPr>
        <w:t xml:space="preserve"> </w:t>
      </w:r>
      <w:r w:rsidR="00C90A88">
        <w:rPr>
          <w:rFonts w:cs="Calibri"/>
          <w:color w:val="000000"/>
        </w:rPr>
        <w:t>po pravilu treba objavljivati jedanput godišnje, pri čemu se</w:t>
      </w:r>
      <w:r w:rsidR="00380F8A">
        <w:rPr>
          <w:rFonts w:cs="Calibri"/>
          <w:color w:val="000000"/>
        </w:rPr>
        <w:t xml:space="preserve"> t</w:t>
      </w:r>
      <w:r w:rsidR="00C90A88">
        <w:rPr>
          <w:rFonts w:cs="Calibri"/>
          <w:color w:val="000000"/>
        </w:rPr>
        <w:t>i</w:t>
      </w:r>
      <w:r w:rsidR="00380F8A">
        <w:rPr>
          <w:rFonts w:cs="Calibri"/>
          <w:color w:val="000000"/>
        </w:rPr>
        <w:t xml:space="preserve"> poda</w:t>
      </w:r>
      <w:r w:rsidR="00C90A88">
        <w:rPr>
          <w:rFonts w:cs="Calibri"/>
          <w:color w:val="000000"/>
        </w:rPr>
        <w:t>ci</w:t>
      </w:r>
      <w:r w:rsidR="00380F8A">
        <w:rPr>
          <w:rFonts w:cs="Calibri"/>
          <w:color w:val="000000"/>
        </w:rPr>
        <w:t xml:space="preserve"> češće </w:t>
      </w:r>
      <w:r w:rsidR="00C90A88">
        <w:rPr>
          <w:rFonts w:cs="Calibri"/>
          <w:color w:val="000000"/>
        </w:rPr>
        <w:t xml:space="preserve">mogu predočavati sudskoj administraciji. Metode prikupljanja podataka treba da odobre pravosuđe i savet pravosuđa. </w:t>
      </w:r>
    </w:p>
    <w:p w:rsidR="00C90A88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lastRenderedPageBreak/>
        <w:t xml:space="preserve">(2) </w:t>
      </w:r>
      <w:r w:rsidR="00C90A88">
        <w:rPr>
          <w:rFonts w:cs="Calibri"/>
          <w:color w:val="000000"/>
        </w:rPr>
        <w:t xml:space="preserve">Redovno treba sprovoditi istraživanja zadovoljstva korisnika kako bi se dobile povratne informacije o radu sudova.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(3) </w:t>
      </w:r>
      <w:r w:rsidR="00C90A88">
        <w:rPr>
          <w:rFonts w:cs="Calibri"/>
          <w:color w:val="000000"/>
        </w:rPr>
        <w:t xml:space="preserve">Sudska administracija može u saradnji sa pravosuđem da objavljuje ciljeve vezane za vreme procesuiranja predmeta ali je potrebno izbegavati nefleksibilne fiksne rokove.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(4) </w:t>
      </w:r>
      <w:r w:rsidR="00C90A88">
        <w:rPr>
          <w:rFonts w:cs="Calibri"/>
          <w:color w:val="000000"/>
        </w:rPr>
        <w:t>Inicijative vezane za smanjenje broja predmeta mogu obuhvatati</w:t>
      </w:r>
      <w:r w:rsidRPr="00B616D9">
        <w:rPr>
          <w:rFonts w:cs="Calibri"/>
          <w:color w:val="000000"/>
        </w:rPr>
        <w:t>: (a)alternativ</w:t>
      </w:r>
      <w:r w:rsidR="00C90A88">
        <w:rPr>
          <w:rFonts w:cs="Calibri"/>
          <w:color w:val="000000"/>
        </w:rPr>
        <w:t>no rešavanje sporova i promovisanje prijateljsk</w:t>
      </w:r>
      <w:r w:rsidR="004622BE">
        <w:rPr>
          <w:rFonts w:cs="Calibri"/>
          <w:color w:val="000000"/>
        </w:rPr>
        <w:t>og</w:t>
      </w:r>
      <w:r w:rsidR="00C90A88">
        <w:rPr>
          <w:rFonts w:cs="Calibri"/>
          <w:color w:val="000000"/>
        </w:rPr>
        <w:t xml:space="preserve"> poravnanja od strane sudija, </w:t>
      </w:r>
      <w:r w:rsidRPr="00B616D9">
        <w:rPr>
          <w:rFonts w:cs="Calibri"/>
          <w:color w:val="000000"/>
        </w:rPr>
        <w:t>(b) met</w:t>
      </w:r>
      <w:r w:rsidR="00C90A88">
        <w:rPr>
          <w:rFonts w:cs="Calibri"/>
          <w:color w:val="000000"/>
        </w:rPr>
        <w:t>ode za smanjenje broja sličnih predmeta koji se razmatraju ponaosob, uključujući i pilot predmete i kolektivne tužbe</w:t>
      </w:r>
      <w:r w:rsidRPr="00B616D9">
        <w:rPr>
          <w:rFonts w:cs="Calibri"/>
          <w:color w:val="000000"/>
        </w:rPr>
        <w:t xml:space="preserve">, (c) </w:t>
      </w:r>
      <w:r w:rsidR="00C90A88">
        <w:rPr>
          <w:rFonts w:cs="Calibri"/>
          <w:color w:val="000000"/>
        </w:rPr>
        <w:t>širenje nadležnosti nižih sudova, i (d) ograničavanje prava na podnošenje žalbe.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(5) </w:t>
      </w:r>
      <w:r w:rsidR="00400617">
        <w:rPr>
          <w:rFonts w:cs="Calibri"/>
          <w:color w:val="000000"/>
        </w:rPr>
        <w:t>Uvođenje sistema za upravljanje kapacitetima kako bi se postigla ravnoteža između broja predmeta sudija i njihovih kapaciteta, povećanje sudova i upućivanje sudija na rad u druge sudove</w:t>
      </w:r>
      <w:r w:rsidRPr="00B616D9">
        <w:rPr>
          <w:rFonts w:cs="Calibri"/>
          <w:color w:val="000000"/>
        </w:rPr>
        <w:t>.</w:t>
      </w:r>
    </w:p>
    <w:p w:rsidR="00A5378F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(6) </w:t>
      </w:r>
      <w:r w:rsidR="00400617">
        <w:rPr>
          <w:rFonts w:cs="Calibri"/>
          <w:color w:val="000000"/>
        </w:rPr>
        <w:t>Efikasnost sudskih postupaka treba unapređivati (a) uvođenjem postupaka za razmatranje sporova malih vrednosti, (b) smanjenjem broja procesnih koraka i utvrđivanjem rokova u kojima treba da budu preduzeti, (c) ograničavanjem broja ročišta</w:t>
      </w:r>
      <w:r w:rsidR="00C34BD0">
        <w:rPr>
          <w:rFonts w:cs="Calibri"/>
          <w:color w:val="000000"/>
        </w:rPr>
        <w:t>/pretresa</w:t>
      </w:r>
      <w:r w:rsidR="00400617">
        <w:rPr>
          <w:rFonts w:cs="Calibri"/>
          <w:color w:val="000000"/>
        </w:rPr>
        <w:t xml:space="preserve">, (d) uvođenjem sudskih video i telefonskih konferencija, i elektronskog snimanja postupaka, i (e) pojednostavljivanjem pismenih odluka. </w:t>
      </w:r>
    </w:p>
    <w:p w:rsidR="00A5378F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(7) </w:t>
      </w:r>
      <w:r w:rsidR="00A5378F">
        <w:rPr>
          <w:rFonts w:cs="Calibri"/>
          <w:color w:val="000000"/>
        </w:rPr>
        <w:t>Inicijative vezane za procesuiranje mogu uključivati (a) elektronsko zavođenje i pristup dokumentima</w:t>
      </w:r>
      <w:r w:rsidRPr="00B616D9">
        <w:rPr>
          <w:rFonts w:cs="Calibri"/>
          <w:color w:val="000000"/>
        </w:rPr>
        <w:t>, (b) ele</w:t>
      </w:r>
      <w:r w:rsidR="00A5378F">
        <w:rPr>
          <w:rFonts w:cs="Calibri"/>
          <w:color w:val="000000"/>
        </w:rPr>
        <w:t>ktronsku komunikaciju sa sudom, (c) specijalizaciju sudova, i (d) delegiranje zadataka administrativnom osoblju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95F34">
        <w:rPr>
          <w:rFonts w:cs="Calibri,Bold"/>
          <w:b/>
          <w:bCs/>
          <w:color w:val="000000"/>
          <w:u w:val="single"/>
        </w:rPr>
        <w:t>T</w:t>
      </w:r>
      <w:r w:rsidR="00A5378F" w:rsidRPr="00095F34">
        <w:rPr>
          <w:rFonts w:cs="Calibri,Bold"/>
          <w:b/>
          <w:bCs/>
          <w:color w:val="000000"/>
          <w:u w:val="single"/>
        </w:rPr>
        <w:t>ema</w:t>
      </w:r>
      <w:r w:rsidRPr="00095F34">
        <w:rPr>
          <w:rFonts w:cs="Calibri,Bold"/>
          <w:b/>
          <w:bCs/>
          <w:color w:val="000000"/>
          <w:u w:val="single"/>
        </w:rPr>
        <w:t xml:space="preserve"> 10: </w:t>
      </w:r>
      <w:r w:rsidR="00095F34" w:rsidRPr="00095F34">
        <w:rPr>
          <w:b/>
          <w:u w:val="single"/>
        </w:rPr>
        <w:t>Kvalitet rada sudija i upravljanje sudijama</w:t>
      </w:r>
      <w:r w:rsidR="001369BA">
        <w:rPr>
          <w:rStyle w:val="EndnoteReference"/>
          <w:b/>
          <w:u w:val="single"/>
        </w:rPr>
        <w:endnoteReference w:id="22"/>
      </w:r>
    </w:p>
    <w:p w:rsidR="00C34BD0" w:rsidRDefault="00C34BD0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095F34" w:rsidRPr="00095F34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38. </w:t>
      </w:r>
      <w:r w:rsidR="00095F34" w:rsidRPr="00095F34">
        <w:rPr>
          <w:rFonts w:cs="Calibri,Bold"/>
          <w:bCs/>
          <w:color w:val="000000"/>
        </w:rPr>
        <w:t xml:space="preserve">Raspodela dužnosti u okviru sudskog sistema treba u najvećoj mogućoj meri da omogući sudijama da se usredsređuju na svoj osnovni zadatak – da sude. </w:t>
      </w:r>
    </w:p>
    <w:p w:rsidR="00095F34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39. </w:t>
      </w:r>
      <w:r w:rsidR="00095F34">
        <w:rPr>
          <w:rFonts w:cs="Calibri"/>
          <w:color w:val="000000"/>
        </w:rPr>
        <w:t>Sudijama se mora obezbedi</w:t>
      </w:r>
      <w:r w:rsidR="00397994">
        <w:rPr>
          <w:rFonts w:cs="Calibri"/>
          <w:color w:val="000000"/>
        </w:rPr>
        <w:t>ti</w:t>
      </w:r>
      <w:r w:rsidR="00095F34">
        <w:rPr>
          <w:rFonts w:cs="Calibri"/>
          <w:color w:val="000000"/>
        </w:rPr>
        <w:t xml:space="preserve"> sva neophodna podrška, uključujući i osoblje sa odgovarajućim kvalifikacijama. </w:t>
      </w:r>
    </w:p>
    <w:p w:rsid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40. </w:t>
      </w:r>
      <w:r w:rsidR="00095F34">
        <w:rPr>
          <w:rFonts w:cs="Calibri"/>
          <w:color w:val="000000"/>
        </w:rPr>
        <w:t xml:space="preserve">Pojedine predmete treba dodeljivati pojedinim sudijama uz pomoć mehanizma kojim se štiti nezavisnost pravosuđa i isključuje mogućnost bilo kakvog predodređivanja </w:t>
      </w:r>
      <w:r w:rsidR="00397994">
        <w:rPr>
          <w:rFonts w:cs="Calibri"/>
          <w:color w:val="000000"/>
        </w:rPr>
        <w:t>ishoda</w:t>
      </w:r>
      <w:r w:rsidR="00095F34">
        <w:rPr>
          <w:rFonts w:cs="Calibri"/>
          <w:color w:val="000000"/>
        </w:rPr>
        <w:t xml:space="preserve">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41. </w:t>
      </w:r>
      <w:r w:rsidR="00095F34">
        <w:rPr>
          <w:rFonts w:cs="Calibri"/>
          <w:color w:val="000000"/>
        </w:rPr>
        <w:t>Prilikom ocenjivanja kvaliteta rada sudije</w:t>
      </w:r>
      <w:r w:rsidRPr="00B616D9">
        <w:rPr>
          <w:rFonts w:cs="Calibri"/>
          <w:color w:val="000000"/>
        </w:rPr>
        <w:t>:-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095F34">
        <w:rPr>
          <w:rFonts w:cs="Calibri"/>
          <w:color w:val="000000"/>
        </w:rPr>
        <w:t>mora se štititi nezavisnost pravosuđa</w:t>
      </w:r>
      <w:r w:rsidRPr="00B616D9">
        <w:rPr>
          <w:rFonts w:cs="Calibri"/>
          <w:color w:val="000000"/>
        </w:rPr>
        <w:t xml:space="preserve">; </w:t>
      </w:r>
      <w:r w:rsidR="00095F34">
        <w:rPr>
          <w:rFonts w:cs="Calibri"/>
          <w:color w:val="000000"/>
        </w:rPr>
        <w:t>i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</w:t>
      </w:r>
      <w:r w:rsidR="00D47817">
        <w:rPr>
          <w:rFonts w:cs="Calibri"/>
          <w:color w:val="000000"/>
        </w:rPr>
        <w:t>ocenjivanje ne sme uključivati bilo kakvu proveru ili preispitivanje sudskih odluka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  <w:u w:val="single"/>
        </w:rPr>
      </w:pPr>
      <w:r w:rsidRPr="00D47817">
        <w:rPr>
          <w:rFonts w:cs="Calibri,Bold"/>
          <w:b/>
          <w:bCs/>
          <w:color w:val="000000"/>
          <w:u w:val="single"/>
        </w:rPr>
        <w:t>T</w:t>
      </w:r>
      <w:r w:rsidR="00D47817" w:rsidRPr="00D47817">
        <w:rPr>
          <w:rFonts w:cs="Calibri,Bold"/>
          <w:b/>
          <w:bCs/>
          <w:color w:val="000000"/>
          <w:u w:val="single"/>
        </w:rPr>
        <w:t>ema</w:t>
      </w:r>
      <w:r w:rsidRPr="00D47817">
        <w:rPr>
          <w:rFonts w:cs="Calibri,Bold"/>
          <w:b/>
          <w:bCs/>
          <w:color w:val="000000"/>
          <w:u w:val="single"/>
        </w:rPr>
        <w:t xml:space="preserve"> 11: </w:t>
      </w:r>
      <w:r w:rsidR="00D47817" w:rsidRPr="00D47817">
        <w:rPr>
          <w:rFonts w:cs="Calibri,Bold"/>
          <w:b/>
          <w:bCs/>
          <w:color w:val="000000"/>
          <w:u w:val="single"/>
        </w:rPr>
        <w:t>Pristup pravdi</w:t>
      </w:r>
      <w:r w:rsidR="001369BA">
        <w:rPr>
          <w:rStyle w:val="EndnoteReference"/>
          <w:rFonts w:cs="Calibri,Bold"/>
          <w:b/>
          <w:bCs/>
          <w:color w:val="000000"/>
          <w:u w:val="single"/>
        </w:rPr>
        <w:endnoteReference w:id="23"/>
      </w:r>
    </w:p>
    <w:p w:rsidR="00397994" w:rsidRPr="00B616D9" w:rsidRDefault="00397994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42. </w:t>
      </w:r>
      <w:r w:rsidR="00D47817">
        <w:rPr>
          <w:rFonts w:cs="Calibri,Bold"/>
          <w:bCs/>
          <w:color w:val="000000"/>
        </w:rPr>
        <w:t xml:space="preserve">Važi sledeće načelo: svaki građanin, kog god porekla bio, treba da ima blagovremen pristup pravdi </w:t>
      </w:r>
      <w:r w:rsidR="00397994">
        <w:rPr>
          <w:rFonts w:cs="Calibri,Bold"/>
          <w:bCs/>
          <w:color w:val="000000"/>
        </w:rPr>
        <w:t xml:space="preserve">na prikladnim lokacijama </w:t>
      </w:r>
      <w:r w:rsidR="00D47817">
        <w:rPr>
          <w:rFonts w:cs="Calibri,Bold"/>
          <w:bCs/>
          <w:color w:val="000000"/>
        </w:rPr>
        <w:t>koji sebi može da priušti, kako bi se lako mogli pokretati svi postupci protiv svih lica, bila ona fizička ili pravna lica, javne ličnosti ili ne</w:t>
      </w:r>
      <w:r w:rsidRPr="00B616D9">
        <w:rPr>
          <w:rFonts w:cs="Calibri"/>
          <w:color w:val="000000"/>
        </w:rPr>
        <w:t>.</w:t>
      </w:r>
    </w:p>
    <w:p w:rsidR="006B438E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43. </w:t>
      </w:r>
      <w:r w:rsidR="006B438E">
        <w:rPr>
          <w:rFonts w:cs="Calibri"/>
          <w:color w:val="000000"/>
        </w:rPr>
        <w:t xml:space="preserve">Sudske odluke treba da budu </w:t>
      </w:r>
      <w:r w:rsidR="00397994">
        <w:rPr>
          <w:rFonts w:cs="Calibri"/>
          <w:color w:val="000000"/>
        </w:rPr>
        <w:t xml:space="preserve">jasno </w:t>
      </w:r>
      <w:r w:rsidR="006B438E">
        <w:rPr>
          <w:rFonts w:cs="Calibri"/>
          <w:color w:val="000000"/>
        </w:rPr>
        <w:t xml:space="preserve">obrazložene i dostupne javnosti, uz uzimanje u obzir zaštite podataka, privatnosti, lične bezbednosti i poverljivosti. </w:t>
      </w:r>
    </w:p>
    <w:p w:rsidR="006B438E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44. </w:t>
      </w:r>
      <w:r w:rsidR="006B438E">
        <w:rPr>
          <w:rFonts w:cs="Calibri"/>
          <w:color w:val="000000"/>
        </w:rPr>
        <w:t xml:space="preserve">Potrebno je imati u vidu interese svih učesnika u sudskom postupku, uključujući i žrtve i svedoke. Prema svima njima se treba odnositi obzirno i pravično. </w:t>
      </w:r>
    </w:p>
    <w:p w:rsidR="00B616D9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45. </w:t>
      </w:r>
      <w:r w:rsidR="006B438E" w:rsidRPr="006B438E">
        <w:rPr>
          <w:rFonts w:cs="Calibri,Bold"/>
          <w:bCs/>
          <w:color w:val="000000"/>
        </w:rPr>
        <w:t xml:space="preserve">Potrebno je pažljivo i u saradnji sa sudijama planirati, analizirati i sprovoditi mere za uklanjanje </w:t>
      </w:r>
      <w:r w:rsidR="00397994">
        <w:rPr>
          <w:rFonts w:cs="Calibri,Bold"/>
          <w:bCs/>
          <w:color w:val="000000"/>
        </w:rPr>
        <w:t>prepreka</w:t>
      </w:r>
      <w:r w:rsidR="006B438E" w:rsidRPr="006B438E">
        <w:rPr>
          <w:rFonts w:cs="Calibri,Bold"/>
          <w:bCs/>
          <w:color w:val="000000"/>
        </w:rPr>
        <w:t xml:space="preserve"> pristupu pravd</w:t>
      </w:r>
      <w:r w:rsidR="00397994">
        <w:rPr>
          <w:rFonts w:cs="Calibri,Bold"/>
          <w:bCs/>
          <w:color w:val="000000"/>
        </w:rPr>
        <w:t>i</w:t>
      </w:r>
      <w:r w:rsidR="006B438E" w:rsidRPr="006B438E">
        <w:rPr>
          <w:rFonts w:cs="Calibri,Bold"/>
          <w:bCs/>
          <w:color w:val="000000"/>
        </w:rPr>
        <w:t>. Te bi mere trebalo da uključuju</w:t>
      </w:r>
      <w:r w:rsidRPr="00B616D9">
        <w:rPr>
          <w:rFonts w:cs="Calibri"/>
          <w:color w:val="000000"/>
        </w:rPr>
        <w:t>:-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6B438E">
        <w:rPr>
          <w:rFonts w:cs="Calibri"/>
          <w:color w:val="000000"/>
        </w:rPr>
        <w:t>Smanjenje finansijskih prepreka, kao što su sudske takse i nepostojanje besplatne pravne pomoći i/ili osiguranja koje ljudi sebi mogu da priušte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</w:t>
      </w:r>
      <w:r w:rsidR="006B438E">
        <w:rPr>
          <w:rFonts w:cs="Calibri"/>
          <w:color w:val="000000"/>
        </w:rPr>
        <w:t>Smanjenje geografskih i tehnoloških prepreka, kao što su sudovi sa prevelikom teritorijalnom nadležnošću, nepostojanje lokalnih sedišta ili putujućih sudova: bolji prevoz i komunikacij</w:t>
      </w:r>
      <w:r w:rsidR="001842C7">
        <w:rPr>
          <w:rFonts w:cs="Calibri"/>
          <w:color w:val="000000"/>
        </w:rPr>
        <w:t>a</w:t>
      </w:r>
      <w:r w:rsidR="006B438E">
        <w:rPr>
          <w:rFonts w:cs="Calibri"/>
          <w:color w:val="000000"/>
        </w:rPr>
        <w:t xml:space="preserve"> i </w:t>
      </w:r>
      <w:r w:rsidR="001842C7">
        <w:rPr>
          <w:rFonts w:cs="Calibri"/>
          <w:color w:val="000000"/>
        </w:rPr>
        <w:t xml:space="preserve">veća upotreba video i telefonskih konferencija, rad preko interneta i pismeni dokazi.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lastRenderedPageBreak/>
        <w:t xml:space="preserve">(3) </w:t>
      </w:r>
      <w:r w:rsidR="001842C7">
        <w:rPr>
          <w:rFonts w:cs="Calibri"/>
          <w:color w:val="000000"/>
        </w:rPr>
        <w:t>Smanjenje psiholoških i društvenih prepreka, kao što su nošenje formalne odeće i sudnice: poboljšanje pristupa informacijama</w:t>
      </w:r>
      <w:r w:rsidR="00397994">
        <w:rPr>
          <w:rFonts w:cs="Calibri"/>
          <w:color w:val="000000"/>
        </w:rPr>
        <w:t>,</w:t>
      </w:r>
      <w:r w:rsidR="001842C7">
        <w:rPr>
          <w:rFonts w:cs="Calibri"/>
          <w:color w:val="000000"/>
        </w:rPr>
        <w:t xml:space="preserve"> objašnjavanje ishoda i postupanje prema svedocima, jezičk</w:t>
      </w:r>
      <w:r w:rsidR="009A72F6">
        <w:rPr>
          <w:rFonts w:cs="Calibri"/>
          <w:color w:val="000000"/>
        </w:rPr>
        <w:t>i</w:t>
      </w:r>
      <w:r w:rsidR="001842C7">
        <w:rPr>
          <w:rFonts w:cs="Calibri"/>
          <w:color w:val="000000"/>
        </w:rPr>
        <w:t xml:space="preserve"> i ostal</w:t>
      </w:r>
      <w:r w:rsidR="009A72F6">
        <w:rPr>
          <w:rFonts w:cs="Calibri"/>
          <w:color w:val="000000"/>
        </w:rPr>
        <w:t xml:space="preserve">i aranžmani za manjinske grupe.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(4) </w:t>
      </w:r>
      <w:r w:rsidR="009A72F6">
        <w:rPr>
          <w:rFonts w:cs="Calibri"/>
          <w:color w:val="000000"/>
        </w:rPr>
        <w:t xml:space="preserve">Smanjenje </w:t>
      </w:r>
      <w:r w:rsidR="00397994">
        <w:rPr>
          <w:rFonts w:cs="Calibri"/>
          <w:color w:val="000000"/>
        </w:rPr>
        <w:t>obaveza</w:t>
      </w:r>
      <w:r w:rsidR="009A72F6">
        <w:rPr>
          <w:rFonts w:cs="Calibri"/>
          <w:color w:val="000000"/>
        </w:rPr>
        <w:t xml:space="preserve"> da lica predstavljaju pravni zastupnici</w:t>
      </w:r>
      <w:r w:rsidRPr="00B616D9">
        <w:rPr>
          <w:rFonts w:cs="Calibri"/>
          <w:color w:val="000000"/>
        </w:rPr>
        <w:t>.</w:t>
      </w:r>
    </w:p>
    <w:p w:rsidR="00B616D9" w:rsidRDefault="00B616D9" w:rsidP="00BD5054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(5) </w:t>
      </w:r>
      <w:r w:rsidR="009A72F6">
        <w:rPr>
          <w:rFonts w:cs="Calibri"/>
          <w:color w:val="000000"/>
        </w:rPr>
        <w:t xml:space="preserve">Smanjenje kašnjenja i poboljšanje blagovremenosti. </w:t>
      </w:r>
    </w:p>
    <w:p w:rsidR="009A72F6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46. </w:t>
      </w:r>
      <w:r w:rsidR="009A72F6">
        <w:rPr>
          <w:rFonts w:cs="Calibri"/>
          <w:color w:val="000000"/>
        </w:rPr>
        <w:t xml:space="preserve">Zakonodavstvo, uključujući i zakonodavstvo EU, treba da bude dostupno i razumljivo. </w:t>
      </w:r>
    </w:p>
    <w:p w:rsidR="0031337C" w:rsidRDefault="0031337C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31337C">
        <w:rPr>
          <w:rFonts w:cs="Calibri,Bold"/>
          <w:b/>
          <w:bCs/>
          <w:color w:val="000000"/>
          <w:u w:val="single"/>
        </w:rPr>
        <w:t>T</w:t>
      </w:r>
      <w:r w:rsidR="009A72F6" w:rsidRPr="0031337C">
        <w:rPr>
          <w:rFonts w:cs="Calibri,Bold"/>
          <w:b/>
          <w:bCs/>
          <w:color w:val="000000"/>
          <w:u w:val="single"/>
        </w:rPr>
        <w:t>ema</w:t>
      </w:r>
      <w:r w:rsidRPr="0031337C">
        <w:rPr>
          <w:rFonts w:cs="Calibri,Bold"/>
          <w:b/>
          <w:bCs/>
          <w:color w:val="000000"/>
          <w:u w:val="single"/>
        </w:rPr>
        <w:t xml:space="preserve"> 12: </w:t>
      </w:r>
      <w:r w:rsidR="009A72F6" w:rsidRPr="0031337C">
        <w:rPr>
          <w:rFonts w:cs="Calibri,Bold"/>
          <w:b/>
          <w:bCs/>
          <w:color w:val="000000"/>
          <w:u w:val="single"/>
        </w:rPr>
        <w:t>Finansiranje sudova</w:t>
      </w:r>
      <w:r w:rsidR="001369BA">
        <w:rPr>
          <w:rStyle w:val="EndnoteReference"/>
          <w:rFonts w:cs="Calibri,Bold"/>
          <w:b/>
          <w:bCs/>
          <w:color w:val="000000"/>
        </w:rPr>
        <w:endnoteReference w:id="24"/>
      </w:r>
    </w:p>
    <w:p w:rsidR="0031337C" w:rsidRDefault="0031337C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47. </w:t>
      </w:r>
      <w:r w:rsidR="009A72F6" w:rsidRPr="009A72F6">
        <w:rPr>
          <w:rFonts w:cs="Calibri,Bold"/>
          <w:bCs/>
          <w:color w:val="000000"/>
        </w:rPr>
        <w:t xml:space="preserve">Pravosuđe treba da bude aktivno uključeno u postupak utvrđivanja budžeta i odgovorno za </w:t>
      </w:r>
      <w:r w:rsidR="009A72F6">
        <w:rPr>
          <w:rFonts w:cs="Calibri,Bold"/>
          <w:bCs/>
          <w:color w:val="000000"/>
        </w:rPr>
        <w:t xml:space="preserve">finansijsko </w:t>
      </w:r>
      <w:r w:rsidR="009A72F6" w:rsidRPr="009A72F6">
        <w:rPr>
          <w:rFonts w:cs="Calibri,Bold"/>
          <w:bCs/>
          <w:color w:val="000000"/>
        </w:rPr>
        <w:t>upravljanje u okviru budžeta koji mu je dodeljen</w:t>
      </w:r>
      <w:r w:rsidRPr="00B616D9">
        <w:rPr>
          <w:rFonts w:cs="Calibri"/>
          <w:color w:val="000000"/>
        </w:rPr>
        <w:t>.</w:t>
      </w:r>
    </w:p>
    <w:p w:rsidR="00B616D9" w:rsidRPr="009A72F6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48. </w:t>
      </w:r>
      <w:r w:rsidR="00397994" w:rsidRPr="00397994">
        <w:rPr>
          <w:rFonts w:cs="Calibri,Bold"/>
          <w:bCs/>
          <w:color w:val="000000"/>
        </w:rPr>
        <w:t xml:space="preserve">Sredstva izdvojena za rad sudova </w:t>
      </w:r>
      <w:r w:rsidR="009A72F6" w:rsidRPr="009A72F6">
        <w:rPr>
          <w:rFonts w:cs="Calibri,Bold"/>
          <w:bCs/>
          <w:color w:val="000000"/>
        </w:rPr>
        <w:t>treba da bud</w:t>
      </w:r>
      <w:r w:rsidR="009A72F6">
        <w:rPr>
          <w:rFonts w:cs="Calibri,Bold"/>
          <w:bCs/>
          <w:color w:val="000000"/>
        </w:rPr>
        <w:t>u</w:t>
      </w:r>
      <w:r w:rsidR="00BD5054">
        <w:rPr>
          <w:rFonts w:cs="Calibri"/>
          <w:color w:val="000000"/>
        </w:rPr>
        <w:t>: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9A72F6">
        <w:rPr>
          <w:rFonts w:cs="Calibri"/>
          <w:color w:val="000000"/>
        </w:rPr>
        <w:t>dogovorena sa pravosuđem</w:t>
      </w:r>
      <w:r w:rsidRPr="00B616D9">
        <w:rPr>
          <w:rFonts w:cs="Calibri"/>
          <w:color w:val="000000"/>
        </w:rPr>
        <w:t>;</w:t>
      </w:r>
    </w:p>
    <w:p w:rsidR="009A72F6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</w:t>
      </w:r>
      <w:r w:rsidR="009A72F6">
        <w:rPr>
          <w:rFonts w:cs="Calibri"/>
          <w:color w:val="000000"/>
        </w:rPr>
        <w:t xml:space="preserve">zasnovana na transparentnim, objektivnim i ekonomičnim kriterijumima; i </w:t>
      </w:r>
    </w:p>
    <w:p w:rsidR="00B616D9" w:rsidRPr="00B616D9" w:rsidRDefault="00B616D9" w:rsidP="00BD5054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(3) </w:t>
      </w:r>
      <w:r w:rsidR="009A72F6">
        <w:rPr>
          <w:rFonts w:cs="Calibri"/>
          <w:color w:val="000000"/>
        </w:rPr>
        <w:t xml:space="preserve">dovoljna da omoguće sudovima da delotvorno </w:t>
      </w:r>
      <w:r w:rsidR="000737F4">
        <w:rPr>
          <w:rFonts w:cs="Calibri"/>
          <w:color w:val="000000"/>
        </w:rPr>
        <w:t>obavljaju svoje dužnosti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49. </w:t>
      </w:r>
      <w:r w:rsidR="00F416FB">
        <w:rPr>
          <w:rFonts w:cs="Calibri"/>
          <w:color w:val="000000"/>
        </w:rPr>
        <w:t xml:space="preserve">Potrebno je sačinjavati finansijske izveštaje o sredstvima </w:t>
      </w:r>
      <w:r w:rsidR="000737F4">
        <w:rPr>
          <w:rFonts w:cs="Calibri"/>
          <w:color w:val="000000"/>
        </w:rPr>
        <w:t>sudova</w:t>
      </w:r>
      <w:r w:rsidR="00F416FB">
        <w:rPr>
          <w:rFonts w:cs="Calibri"/>
          <w:color w:val="000000"/>
        </w:rPr>
        <w:t xml:space="preserve">, koji treba da </w:t>
      </w:r>
      <w:r w:rsidR="000737F4">
        <w:rPr>
          <w:rFonts w:cs="Calibri"/>
          <w:color w:val="000000"/>
        </w:rPr>
        <w:t xml:space="preserve">podležu </w:t>
      </w:r>
      <w:r w:rsidR="00F416FB">
        <w:rPr>
          <w:rFonts w:cs="Calibri"/>
          <w:color w:val="000000"/>
        </w:rPr>
        <w:t xml:space="preserve">nezavisnoj reviziji. </w:t>
      </w:r>
    </w:p>
    <w:p w:rsidR="00B2658B" w:rsidRDefault="00B2658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F416FB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vertAlign w:val="superscript"/>
        </w:rPr>
      </w:pPr>
      <w:r w:rsidRPr="00B2658B">
        <w:rPr>
          <w:rFonts w:cs="Calibri,Bold"/>
          <w:b/>
          <w:bCs/>
          <w:color w:val="000000"/>
          <w:u w:val="single"/>
        </w:rPr>
        <w:t>T</w:t>
      </w:r>
      <w:r w:rsidR="00F416FB" w:rsidRPr="00B2658B">
        <w:rPr>
          <w:rFonts w:cs="Calibri,Bold"/>
          <w:b/>
          <w:bCs/>
          <w:color w:val="000000"/>
          <w:u w:val="single"/>
        </w:rPr>
        <w:t>ema</w:t>
      </w:r>
      <w:r w:rsidRPr="00B2658B">
        <w:rPr>
          <w:rFonts w:cs="Calibri,Bold"/>
          <w:b/>
          <w:bCs/>
          <w:color w:val="000000"/>
          <w:u w:val="single"/>
        </w:rPr>
        <w:t xml:space="preserve"> 13: Transparen</w:t>
      </w:r>
      <w:r w:rsidR="00F416FB" w:rsidRPr="00B2658B">
        <w:rPr>
          <w:rFonts w:cs="Calibri,Bold"/>
          <w:b/>
          <w:bCs/>
          <w:color w:val="000000"/>
          <w:u w:val="single"/>
        </w:rPr>
        <w:t>tnost, odgovornost i odnosi sa medijima</w:t>
      </w:r>
      <w:r w:rsidR="001369BA">
        <w:rPr>
          <w:rStyle w:val="EndnoteReference"/>
          <w:rFonts w:cs="Calibri,Bold"/>
          <w:b/>
          <w:bCs/>
          <w:color w:val="000000"/>
          <w:u w:val="single"/>
        </w:rPr>
        <w:endnoteReference w:id="25"/>
      </w:r>
    </w:p>
    <w:p w:rsidR="00F416FB" w:rsidRDefault="00F416F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F416FB" w:rsidRPr="00F416FB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50. </w:t>
      </w:r>
      <w:r w:rsidR="00F416FB" w:rsidRPr="00F416FB">
        <w:rPr>
          <w:rFonts w:cs="Calibri,Bold"/>
          <w:bCs/>
          <w:color w:val="000000"/>
        </w:rPr>
        <w:t>Saveti pravosuđa, sudovi i sudije moraju da obezbeđuju otvoren i transparentan sistem pravde.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51. </w:t>
      </w:r>
      <w:r w:rsidR="00F416FB">
        <w:rPr>
          <w:rFonts w:cs="Calibri"/>
          <w:color w:val="000000"/>
        </w:rPr>
        <w:t xml:space="preserve">Prilikom vršenja ove </w:t>
      </w:r>
      <w:r w:rsidR="00397994">
        <w:rPr>
          <w:rFonts w:cs="Calibri"/>
          <w:color w:val="000000"/>
        </w:rPr>
        <w:t>dužnosti</w:t>
      </w:r>
      <w:r w:rsidR="00BD5054">
        <w:rPr>
          <w:rFonts w:cs="Calibri"/>
          <w:color w:val="000000"/>
        </w:rPr>
        <w:t>:</w:t>
      </w:r>
    </w:p>
    <w:p w:rsidR="00B616D9" w:rsidRPr="00B616D9" w:rsidRDefault="00F416FB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(1) Pravosuđe mora aktivno da unapređuje razumevanje </w:t>
      </w:r>
      <w:r w:rsidR="00397994">
        <w:rPr>
          <w:rFonts w:cs="Calibri"/>
          <w:color w:val="000000"/>
        </w:rPr>
        <w:t>svog</w:t>
      </w:r>
      <w:r>
        <w:rPr>
          <w:rFonts w:cs="Calibri"/>
          <w:color w:val="000000"/>
        </w:rPr>
        <w:t xml:space="preserve"> rada</w:t>
      </w:r>
      <w:r w:rsidR="00B616D9"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</w:t>
      </w:r>
      <w:r w:rsidR="00F416FB">
        <w:rPr>
          <w:rFonts w:cs="Calibri"/>
          <w:color w:val="000000"/>
        </w:rPr>
        <w:t>Potrebno je pružati dovoljno informacija javnosti i medijima kako bi se obezbedilo da javnost  ima tačnu percepciju sprovođenja pravde</w:t>
      </w:r>
      <w:r w:rsidRPr="00B616D9">
        <w:rPr>
          <w:rFonts w:cs="Calibri"/>
          <w:color w:val="000000"/>
        </w:rPr>
        <w:t>;</w:t>
      </w:r>
    </w:p>
    <w:p w:rsidR="00B616D9" w:rsidRPr="004A0C8B" w:rsidRDefault="00B616D9" w:rsidP="00BD5054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cs="Calibri"/>
          <w:color w:val="000000"/>
          <w:vertAlign w:val="superscript"/>
        </w:rPr>
      </w:pPr>
      <w:r w:rsidRPr="00B616D9">
        <w:rPr>
          <w:rFonts w:cs="Calibri"/>
          <w:color w:val="000000"/>
        </w:rPr>
        <w:t xml:space="preserve">(3) </w:t>
      </w:r>
      <w:r w:rsidR="00F416FB">
        <w:rPr>
          <w:rFonts w:cs="Calibri"/>
          <w:color w:val="000000"/>
        </w:rPr>
        <w:t>Sva tela, uključujući i savete pravosuđa, treba da sačinjavaju periodične izveštaje o tome kako su vršili svoje funkcije, i (b) objavljuju te izveštaje u cilju unapređenja efikasnosti i kvaliteta pravde a da pri tom ne ugrožavaju nezavisnost odlučivanja sudije</w:t>
      </w:r>
      <w:r w:rsidRPr="00B616D9">
        <w:rPr>
          <w:rFonts w:cs="Calibri"/>
          <w:color w:val="000000"/>
        </w:rPr>
        <w:t>.</w:t>
      </w:r>
      <w:r w:rsidR="001369BA">
        <w:rPr>
          <w:rStyle w:val="EndnoteReference"/>
          <w:rFonts w:cs="Calibri"/>
          <w:color w:val="000000"/>
        </w:rPr>
        <w:endnoteReference w:id="26"/>
      </w:r>
    </w:p>
    <w:p w:rsidR="00B616D9" w:rsidRPr="004A0C8B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vertAlign w:val="superscript"/>
        </w:rPr>
      </w:pPr>
      <w:r w:rsidRPr="00B616D9">
        <w:rPr>
          <w:rFonts w:cs="Calibri,Bold"/>
          <w:b/>
          <w:bCs/>
          <w:color w:val="000000"/>
        </w:rPr>
        <w:t xml:space="preserve">52. </w:t>
      </w:r>
      <w:r w:rsidR="004A0C8B">
        <w:rPr>
          <w:rFonts w:cs="Calibri"/>
          <w:color w:val="000000"/>
        </w:rPr>
        <w:t>Potrebno je razmotriti i primenjivati sledeće mehanizme za unapređenje transparen</w:t>
      </w:r>
      <w:r w:rsidR="00397994">
        <w:rPr>
          <w:rFonts w:cs="Calibri"/>
          <w:color w:val="000000"/>
        </w:rPr>
        <w:t>tn</w:t>
      </w:r>
      <w:r w:rsidR="004A0C8B">
        <w:rPr>
          <w:rFonts w:cs="Calibri"/>
          <w:color w:val="000000"/>
        </w:rPr>
        <w:t>osti</w:t>
      </w:r>
      <w:r w:rsidRPr="00B616D9">
        <w:rPr>
          <w:rFonts w:cs="Calibri"/>
          <w:color w:val="000000"/>
        </w:rPr>
        <w:t>:-</w:t>
      </w:r>
      <w:r w:rsidR="001369BA">
        <w:rPr>
          <w:rStyle w:val="EndnoteReference"/>
          <w:rFonts w:cs="Calibri"/>
          <w:color w:val="000000"/>
        </w:rPr>
        <w:endnoteReference w:id="27"/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4A0C8B">
        <w:rPr>
          <w:rFonts w:cs="Calibri"/>
          <w:color w:val="000000"/>
        </w:rPr>
        <w:t>Sistem portparola sud</w:t>
      </w:r>
      <w:r w:rsidR="00397994">
        <w:rPr>
          <w:rFonts w:cs="Calibri"/>
          <w:color w:val="000000"/>
        </w:rPr>
        <w:t xml:space="preserve">a, sudija zaduženih za odnose sa </w:t>
      </w:r>
      <w:r w:rsidR="004A0C8B">
        <w:rPr>
          <w:rFonts w:cs="Calibri"/>
          <w:color w:val="000000"/>
        </w:rPr>
        <w:t>štamp</w:t>
      </w:r>
      <w:r w:rsidR="00397994">
        <w:rPr>
          <w:rFonts w:cs="Calibri"/>
          <w:color w:val="000000"/>
        </w:rPr>
        <w:t>om</w:t>
      </w:r>
      <w:r w:rsidR="004A0C8B">
        <w:rPr>
          <w:rFonts w:cs="Calibri"/>
          <w:color w:val="000000"/>
        </w:rPr>
        <w:t xml:space="preserve"> i savetnika za komunikacije. Ove osobe treba da budu podrobno upoznat</w:t>
      </w:r>
      <w:r w:rsidR="00397994">
        <w:rPr>
          <w:rFonts w:cs="Calibri"/>
          <w:color w:val="000000"/>
        </w:rPr>
        <w:t>e</w:t>
      </w:r>
      <w:r w:rsidR="004A0C8B">
        <w:rPr>
          <w:rFonts w:cs="Calibri"/>
          <w:color w:val="000000"/>
        </w:rPr>
        <w:t xml:space="preserve"> sa pravosudnim sistemom i prođu obuku u društvenim i medijskim veštinama kako bi javnosti pružale razumljive informacije o pravosudnom sistemu i sudskim odlukama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Audio </w:t>
      </w:r>
      <w:r w:rsidR="004A0C8B">
        <w:rPr>
          <w:rFonts w:cs="Calibri"/>
          <w:color w:val="000000"/>
        </w:rPr>
        <w:t>i</w:t>
      </w:r>
      <w:r w:rsidRPr="00B616D9">
        <w:rPr>
          <w:rFonts w:cs="Calibri"/>
          <w:color w:val="000000"/>
        </w:rPr>
        <w:t xml:space="preserve"> video </w:t>
      </w:r>
      <w:r w:rsidR="004A0C8B">
        <w:rPr>
          <w:rFonts w:cs="Calibri"/>
          <w:color w:val="000000"/>
        </w:rPr>
        <w:t>snimanje sudskih ročišta i pretresa, pod kontrolom sudije, uz primenu mera za zaštitu učesnika u postupku koji nisu profesionalci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(3) </w:t>
      </w:r>
      <w:r w:rsidR="004A0C8B">
        <w:rPr>
          <w:rFonts w:cs="Calibri"/>
          <w:color w:val="000000"/>
        </w:rPr>
        <w:t>Jasne smernice o upotrebi smart telefona i ostalih uređaja za komunikaciju u sudu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(4) </w:t>
      </w:r>
      <w:r w:rsidR="004A0C8B">
        <w:rPr>
          <w:rFonts w:cs="Calibri"/>
          <w:color w:val="000000"/>
        </w:rPr>
        <w:t>Strategij</w:t>
      </w:r>
      <w:r w:rsidR="00397994">
        <w:rPr>
          <w:rFonts w:cs="Calibri"/>
          <w:color w:val="000000"/>
        </w:rPr>
        <w:t>u</w:t>
      </w:r>
      <w:r w:rsidR="004A0C8B">
        <w:rPr>
          <w:rFonts w:cs="Calibri"/>
          <w:color w:val="000000"/>
        </w:rPr>
        <w:t xml:space="preserve"> o upotrebi </w:t>
      </w:r>
      <w:r w:rsidR="00397994">
        <w:rPr>
          <w:rFonts w:cs="Calibri"/>
          <w:color w:val="000000"/>
        </w:rPr>
        <w:t>društvenih</w:t>
      </w:r>
      <w:r w:rsidR="004A0C8B">
        <w:rPr>
          <w:rFonts w:cs="Calibri"/>
          <w:color w:val="000000"/>
        </w:rPr>
        <w:t xml:space="preserve"> medija za predočavanje informacija o pravosudnom sistemu i sudskim odlukama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(5) </w:t>
      </w:r>
      <w:r w:rsidR="004A0C8B">
        <w:rPr>
          <w:rFonts w:cs="Calibri"/>
          <w:color w:val="000000"/>
        </w:rPr>
        <w:t>Besplatne internet stranice o pravosuđu, pravosudnom sistemu i rešenim predmetima, pod kontrolom saveta pravosuđa</w:t>
      </w:r>
      <w:r w:rsidRPr="00B616D9">
        <w:rPr>
          <w:rFonts w:cs="Calibri"/>
          <w:color w:val="000000"/>
        </w:rPr>
        <w:t>.</w:t>
      </w:r>
    </w:p>
    <w:p w:rsidR="004A0C8B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(6) </w:t>
      </w:r>
      <w:r w:rsidR="004A0C8B">
        <w:rPr>
          <w:rFonts w:cs="Calibri"/>
          <w:color w:val="000000"/>
        </w:rPr>
        <w:t>Smernice za medije, u kojima se razjašnjavaju ciljevi i interesi kako pravosuđa tako i medija</w:t>
      </w:r>
      <w:r w:rsidR="00540DE8">
        <w:rPr>
          <w:rFonts w:cs="Calibri"/>
          <w:color w:val="000000"/>
        </w:rPr>
        <w:t>, kao i</w:t>
      </w:r>
      <w:r w:rsidR="004A0C8B">
        <w:rPr>
          <w:rFonts w:cs="Calibri"/>
          <w:color w:val="000000"/>
        </w:rPr>
        <w:t xml:space="preserve">postupanje sudova prema medijima i šta </w:t>
      </w:r>
      <w:r w:rsidR="00540DE8">
        <w:rPr>
          <w:rFonts w:cs="Calibri"/>
          <w:color w:val="000000"/>
        </w:rPr>
        <w:t xml:space="preserve">sve </w:t>
      </w:r>
      <w:r w:rsidR="004A0C8B">
        <w:rPr>
          <w:rFonts w:cs="Calibri"/>
          <w:color w:val="000000"/>
        </w:rPr>
        <w:t xml:space="preserve">mediji mogu da očekuju od zaposlenih u sudu.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31337C">
        <w:rPr>
          <w:rFonts w:cs="Calibri,Bold"/>
          <w:b/>
          <w:bCs/>
          <w:color w:val="000000"/>
          <w:u w:val="single"/>
        </w:rPr>
        <w:t>T</w:t>
      </w:r>
      <w:r w:rsidR="004A0C8B" w:rsidRPr="0031337C">
        <w:rPr>
          <w:rFonts w:cs="Calibri,Bold"/>
          <w:b/>
          <w:bCs/>
          <w:color w:val="000000"/>
          <w:u w:val="single"/>
        </w:rPr>
        <w:t xml:space="preserve">ema </w:t>
      </w:r>
      <w:r w:rsidRPr="0031337C">
        <w:rPr>
          <w:rFonts w:cs="Calibri,Bold"/>
          <w:b/>
          <w:bCs/>
          <w:color w:val="000000"/>
          <w:u w:val="single"/>
        </w:rPr>
        <w:t>14: P</w:t>
      </w:r>
      <w:r w:rsidR="004A0C8B" w:rsidRPr="0031337C">
        <w:rPr>
          <w:rFonts w:cs="Calibri,Bold"/>
          <w:b/>
          <w:bCs/>
          <w:color w:val="000000"/>
          <w:u w:val="single"/>
        </w:rPr>
        <w:t>overenje javnosti</w:t>
      </w:r>
      <w:r w:rsidR="001369BA">
        <w:rPr>
          <w:rStyle w:val="EndnoteReference"/>
          <w:rFonts w:cs="Calibri,Bold"/>
          <w:b/>
          <w:bCs/>
          <w:color w:val="000000"/>
        </w:rPr>
        <w:endnoteReference w:id="28"/>
      </w:r>
    </w:p>
    <w:p w:rsidR="00B2658B" w:rsidRPr="00B2658B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53. </w:t>
      </w:r>
      <w:r w:rsidR="00B2658B" w:rsidRPr="00B2658B">
        <w:rPr>
          <w:rFonts w:cs="Calibri,Bold"/>
          <w:bCs/>
          <w:color w:val="000000"/>
        </w:rPr>
        <w:t>Neophodno je obezbediti poštovanje zakona i javno poverenje u pravosuđe</w:t>
      </w:r>
    </w:p>
    <w:p w:rsid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54. </w:t>
      </w:r>
      <w:r w:rsidR="00B2658B">
        <w:rPr>
          <w:rFonts w:cs="Calibri"/>
          <w:color w:val="000000"/>
        </w:rPr>
        <w:t>Saveti pravosuđa treba da prate poverenje javnosti u pravosuđe i unapređuju mere za jačanje tog poverenja</w:t>
      </w:r>
      <w:r w:rsidRPr="00B616D9">
        <w:rPr>
          <w:rFonts w:cs="Calibri"/>
          <w:color w:val="000000"/>
        </w:rPr>
        <w:t>.</w:t>
      </w:r>
    </w:p>
    <w:p w:rsidR="00B616D9" w:rsidRP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55. </w:t>
      </w:r>
      <w:r w:rsidR="00B2658B">
        <w:rPr>
          <w:rFonts w:cs="Calibri"/>
          <w:color w:val="000000"/>
        </w:rPr>
        <w:t>Potrebno je uspostaviti i unapređivati sistem za istraživanje poverenja u sledećih pet oblasti: (a) pravosudni sistem i njegove osnovne vrednosti</w:t>
      </w:r>
      <w:r w:rsidR="000737F4">
        <w:rPr>
          <w:rFonts w:cs="Calibri"/>
          <w:color w:val="000000"/>
        </w:rPr>
        <w:t>,</w:t>
      </w:r>
      <w:r w:rsidR="00B2658B">
        <w:rPr>
          <w:rFonts w:cs="Calibri"/>
          <w:color w:val="000000"/>
        </w:rPr>
        <w:t xml:space="preserve"> (b) sudovi, (c) sudije i sudski zvaničnici, (d) odluke, </w:t>
      </w:r>
      <w:r w:rsidR="00B2658B">
        <w:rPr>
          <w:rFonts w:cs="Calibri"/>
          <w:color w:val="000000"/>
        </w:rPr>
        <w:lastRenderedPageBreak/>
        <w:t>presude i rešenja, i (e) sudovi EU, evropski zakoni i propisi. Ova istraživanja treba sprovoditi u redovnim vremenskim razmacima a rezultati treba da budu besplatno dostupn</w:t>
      </w:r>
      <w:r w:rsidR="000737F4">
        <w:rPr>
          <w:rFonts w:cs="Calibri"/>
          <w:color w:val="000000"/>
        </w:rPr>
        <w:t>i</w:t>
      </w:r>
      <w:r w:rsidR="00B2658B">
        <w:rPr>
          <w:rFonts w:cs="Calibri"/>
          <w:color w:val="000000"/>
        </w:rPr>
        <w:t xml:space="preserve"> medijima i javnosti. </w:t>
      </w:r>
    </w:p>
    <w:p w:rsidR="0031337C" w:rsidRDefault="0031337C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31337C">
        <w:rPr>
          <w:rFonts w:cs="Calibri,Bold"/>
          <w:b/>
          <w:bCs/>
          <w:color w:val="000000"/>
          <w:u w:val="single"/>
        </w:rPr>
        <w:t>T</w:t>
      </w:r>
      <w:r w:rsidR="00B2658B" w:rsidRPr="0031337C">
        <w:rPr>
          <w:rFonts w:cs="Calibri,Bold"/>
          <w:b/>
          <w:bCs/>
          <w:color w:val="000000"/>
          <w:u w:val="single"/>
        </w:rPr>
        <w:t>ema</w:t>
      </w:r>
      <w:r w:rsidRPr="0031337C">
        <w:rPr>
          <w:rFonts w:cs="Calibri,Bold"/>
          <w:b/>
          <w:bCs/>
          <w:color w:val="000000"/>
          <w:u w:val="single"/>
        </w:rPr>
        <w:t xml:space="preserve"> 15: </w:t>
      </w:r>
      <w:r w:rsidR="00B2658B" w:rsidRPr="0031337C">
        <w:rPr>
          <w:rFonts w:cs="Calibri,Bold"/>
          <w:b/>
          <w:bCs/>
          <w:color w:val="000000"/>
          <w:u w:val="single"/>
        </w:rPr>
        <w:t>Uzajamno poverenje</w:t>
      </w:r>
      <w:r w:rsidR="001369BA">
        <w:rPr>
          <w:rStyle w:val="EndnoteReference"/>
          <w:rFonts w:cs="Calibri,Bold"/>
          <w:b/>
          <w:bCs/>
          <w:color w:val="000000"/>
        </w:rPr>
        <w:endnoteReference w:id="29"/>
      </w:r>
    </w:p>
    <w:p w:rsidR="00B2658B" w:rsidRDefault="00B2658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2658B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56. </w:t>
      </w:r>
      <w:r w:rsidR="00B2658B" w:rsidRPr="00B2658B">
        <w:rPr>
          <w:rFonts w:cs="Calibri,Bold"/>
          <w:bCs/>
          <w:color w:val="000000"/>
        </w:rPr>
        <w:t xml:space="preserve">Uzajamno poverenje pravosuđa EU </w:t>
      </w:r>
      <w:r w:rsidR="00397E72">
        <w:rPr>
          <w:rFonts w:cs="Calibri,Bold"/>
          <w:bCs/>
          <w:color w:val="000000"/>
        </w:rPr>
        <w:t>j</w:t>
      </w:r>
      <w:r w:rsidR="00B2658B" w:rsidRPr="00B2658B">
        <w:rPr>
          <w:rFonts w:cs="Calibri,Bold"/>
          <w:bCs/>
          <w:color w:val="000000"/>
        </w:rPr>
        <w:t xml:space="preserve">e neophodno za unapređenje uzajamnog priznanja i poštovanja sudskih odluka donetih u drugim Državama članicama i za unapređenje funkcionisanja pravosudnih sistema širom EU. </w:t>
      </w:r>
    </w:p>
    <w:p w:rsidR="00573659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57. </w:t>
      </w:r>
      <w:r w:rsidR="00B2658B" w:rsidRPr="00573659">
        <w:rPr>
          <w:rFonts w:cs="Calibri,Bold"/>
          <w:bCs/>
          <w:color w:val="000000"/>
        </w:rPr>
        <w:t xml:space="preserve">Sudije i tužioci treba da polaze od opšte pretpostavke da </w:t>
      </w:r>
      <w:r w:rsidR="00573659" w:rsidRPr="00573659">
        <w:rPr>
          <w:rFonts w:cs="Calibri,Bold"/>
          <w:bCs/>
          <w:color w:val="000000"/>
        </w:rPr>
        <w:t xml:space="preserve">pravni sistem neke druge članice EU možda nije sličan ali da </w:t>
      </w:r>
      <w:r w:rsidR="00573659">
        <w:rPr>
          <w:rFonts w:cs="Calibri,Bold"/>
          <w:bCs/>
          <w:color w:val="000000"/>
        </w:rPr>
        <w:t>sadrži</w:t>
      </w:r>
      <w:r w:rsidR="00573659" w:rsidRPr="00573659">
        <w:rPr>
          <w:rFonts w:cs="Calibri,Bold"/>
          <w:bCs/>
          <w:color w:val="000000"/>
        </w:rPr>
        <w:t xml:space="preserve"> iste osnovne garantije.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B616D9">
        <w:rPr>
          <w:rFonts w:cs="Calibri,Bold"/>
          <w:b/>
          <w:bCs/>
          <w:color w:val="000000"/>
        </w:rPr>
        <w:t xml:space="preserve">58. </w:t>
      </w:r>
      <w:r w:rsidR="00573659" w:rsidRPr="00573659">
        <w:rPr>
          <w:rFonts w:cs="Calibri,Bold"/>
          <w:bCs/>
          <w:color w:val="000000"/>
        </w:rPr>
        <w:t>Potrebno je preduzimati sledeće korake radi jačanja uzajamnog poverenja</w:t>
      </w:r>
      <w:r w:rsidRPr="00B616D9">
        <w:rPr>
          <w:rFonts w:cs="Calibri"/>
          <w:color w:val="000000"/>
        </w:rPr>
        <w:t>:-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(1) </w:t>
      </w:r>
      <w:r w:rsidR="00831CD1">
        <w:rPr>
          <w:rFonts w:cs="Calibri"/>
          <w:color w:val="000000"/>
        </w:rPr>
        <w:t xml:space="preserve">Evaluacija i </w:t>
      </w:r>
      <w:r w:rsidR="00397E72">
        <w:rPr>
          <w:rFonts w:cs="Calibri"/>
          <w:color w:val="000000"/>
        </w:rPr>
        <w:t>očuvanje</w:t>
      </w:r>
      <w:r w:rsidR="00831CD1">
        <w:rPr>
          <w:rFonts w:cs="Calibri"/>
          <w:color w:val="000000"/>
        </w:rPr>
        <w:t xml:space="preserve"> minimalnih standarda i minimalnih procesnih zaštitnih mehanizama</w:t>
      </w:r>
      <w:r w:rsidRPr="00B616D9">
        <w:rPr>
          <w:rFonts w:cs="Calibri"/>
          <w:color w:val="000000"/>
        </w:rPr>
        <w:t>;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(2) </w:t>
      </w:r>
      <w:r w:rsidR="00831CD1">
        <w:rPr>
          <w:rFonts w:cs="Calibri"/>
          <w:color w:val="000000"/>
        </w:rPr>
        <w:t>Unapređenje obuke sudija</w:t>
      </w:r>
      <w:r w:rsidRPr="00B616D9">
        <w:rPr>
          <w:rFonts w:cs="Calibri"/>
          <w:color w:val="000000"/>
        </w:rPr>
        <w:t>;</w:t>
      </w:r>
    </w:p>
    <w:p w:rsidR="00B616D9" w:rsidRPr="00B616D9" w:rsidRDefault="00E9237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(3) </w:t>
      </w:r>
      <w:r w:rsidR="00831CD1">
        <w:rPr>
          <w:rFonts w:cs="Calibri"/>
          <w:color w:val="000000"/>
        </w:rPr>
        <w:t xml:space="preserve">Jačanje postojećih sudskih mreža i stvaranje novih veza između pravosuđa, saveta pravosuđa, sudova i </w:t>
      </w:r>
      <w:r w:rsidR="00397E72">
        <w:rPr>
          <w:rFonts w:cs="Calibri"/>
          <w:color w:val="000000"/>
        </w:rPr>
        <w:t xml:space="preserve">sudskih </w:t>
      </w:r>
      <w:r w:rsidR="00831CD1">
        <w:rPr>
          <w:rFonts w:cs="Calibri"/>
          <w:color w:val="000000"/>
        </w:rPr>
        <w:t>tumača</w:t>
      </w:r>
      <w:r w:rsidR="00B616D9" w:rsidRPr="00B616D9">
        <w:rPr>
          <w:rFonts w:cs="Calibri"/>
          <w:color w:val="000000"/>
        </w:rPr>
        <w:t xml:space="preserve">; </w:t>
      </w:r>
      <w:r w:rsidR="00831CD1">
        <w:rPr>
          <w:rFonts w:cs="Calibri"/>
          <w:color w:val="000000"/>
        </w:rPr>
        <w:t>i</w:t>
      </w:r>
    </w:p>
    <w:p w:rsidR="00B616D9" w:rsidRPr="00831CD1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  <w:vertAlign w:val="superscript"/>
        </w:rPr>
      </w:pPr>
      <w:r w:rsidRPr="00B616D9">
        <w:rPr>
          <w:rFonts w:cs="Calibri"/>
          <w:color w:val="000000"/>
        </w:rPr>
        <w:t xml:space="preserve">(4) </w:t>
      </w:r>
      <w:r w:rsidR="00831CD1">
        <w:rPr>
          <w:rFonts w:cs="Calibri"/>
          <w:color w:val="000000"/>
        </w:rPr>
        <w:t>Uspostavljanje baze podataka sudskih odluka u drugim Državama članicama o tumačenju i primeni relevantnog evropskog i nacionalnog zakonodavstva.</w:t>
      </w:r>
      <w:r w:rsidR="001369BA">
        <w:rPr>
          <w:rStyle w:val="EndnoteReference"/>
          <w:rFonts w:cs="Calibri"/>
          <w:color w:val="000000"/>
        </w:rPr>
        <w:endnoteReference w:id="30"/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A536F0" w:rsidRDefault="00831CD1" w:rsidP="00A536F0">
      <w:pPr>
        <w:spacing w:line="240" w:lineRule="auto"/>
        <w:jc w:val="center"/>
        <w:rPr>
          <w:rFonts w:cs="Calibri,Bold"/>
          <w:b/>
          <w:bCs/>
          <w:color w:val="000000"/>
          <w:sz w:val="24"/>
          <w:szCs w:val="24"/>
          <w:u w:val="single"/>
        </w:rPr>
      </w:pPr>
      <w:r w:rsidRPr="00A536F0">
        <w:rPr>
          <w:rFonts w:cs="Calibri,Bold"/>
          <w:b/>
          <w:bCs/>
          <w:color w:val="000000"/>
          <w:sz w:val="24"/>
          <w:szCs w:val="24"/>
          <w:u w:val="single"/>
        </w:rPr>
        <w:t>Prilog</w:t>
      </w:r>
      <w:r w:rsidR="00B616D9" w:rsidRPr="00A536F0">
        <w:rPr>
          <w:rFonts w:cs="Calibri,Bold"/>
          <w:b/>
          <w:bCs/>
          <w:color w:val="000000"/>
          <w:sz w:val="24"/>
          <w:szCs w:val="24"/>
          <w:u w:val="single"/>
        </w:rPr>
        <w:t xml:space="preserve">: </w:t>
      </w:r>
      <w:r w:rsidR="00397E72" w:rsidRPr="00A536F0">
        <w:rPr>
          <w:rFonts w:cs="Calibri,Bold"/>
          <w:b/>
          <w:bCs/>
          <w:color w:val="000000"/>
          <w:sz w:val="24"/>
          <w:szCs w:val="24"/>
          <w:u w:val="single"/>
        </w:rPr>
        <w:t xml:space="preserve">Prikazi </w:t>
      </w:r>
      <w:r w:rsidR="0029523C" w:rsidRPr="00A536F0">
        <w:rPr>
          <w:rFonts w:cs="Calibri,Bold"/>
          <w:b/>
          <w:bCs/>
          <w:color w:val="000000"/>
          <w:sz w:val="24"/>
          <w:szCs w:val="24"/>
          <w:u w:val="single"/>
        </w:rPr>
        <w:t>dokumenata</w:t>
      </w:r>
      <w:r w:rsidRPr="00A536F0">
        <w:rPr>
          <w:rFonts w:cs="Calibri,Bold"/>
          <w:b/>
          <w:bCs/>
          <w:color w:val="000000"/>
          <w:sz w:val="24"/>
          <w:szCs w:val="24"/>
          <w:u w:val="single"/>
        </w:rPr>
        <w:t xml:space="preserve"> ENCJ</w:t>
      </w:r>
    </w:p>
    <w:p w:rsidR="00B616D9" w:rsidRP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Mi</w:t>
      </w:r>
      <w:r w:rsidR="00831CD1">
        <w:rPr>
          <w:rFonts w:cs="Calibri,Bold"/>
          <w:b/>
          <w:bCs/>
          <w:color w:val="000000"/>
        </w:rPr>
        <w:t xml:space="preserve">sija i vizija </w:t>
      </w:r>
      <w:r w:rsidRPr="00B616D9">
        <w:rPr>
          <w:rFonts w:cs="Calibri,Bold"/>
          <w:b/>
          <w:bCs/>
          <w:color w:val="000000"/>
        </w:rPr>
        <w:t>I (2005)</w:t>
      </w:r>
    </w:p>
    <w:p w:rsidR="00B616D9" w:rsidRDefault="00831CD1" w:rsidP="00BD5054">
      <w:pPr>
        <w:autoSpaceDE w:val="0"/>
        <w:autoSpaceDN w:val="0"/>
        <w:adjustRightInd w:val="0"/>
        <w:spacing w:after="120" w:line="240" w:lineRule="auto"/>
        <w:rPr>
          <w:rFonts w:cs="Calibri"/>
          <w:color w:val="0000FF"/>
        </w:rPr>
      </w:pPr>
      <w:r>
        <w:rPr>
          <w:rFonts w:cs="Calibri"/>
          <w:color w:val="000000"/>
        </w:rPr>
        <w:t>Ovaj izveštaj, pod nazivom „Misija, vizija, pravila i ostala relevantna pitanja saveta“, dostupan je na sledećoj internet stranici</w:t>
      </w:r>
      <w:r w:rsidR="00B616D9" w:rsidRPr="00B616D9">
        <w:rPr>
          <w:rFonts w:cs="Calibri"/>
          <w:color w:val="000000"/>
        </w:rPr>
        <w:t>:</w:t>
      </w:r>
      <w:r w:rsidR="00BD5054">
        <w:rPr>
          <w:rFonts w:cs="Calibri"/>
          <w:color w:val="000000"/>
        </w:rPr>
        <w:t xml:space="preserve"> </w:t>
      </w:r>
      <w:hyperlink r:id="rId7" w:history="1">
        <w:r w:rsidR="00397E72" w:rsidRPr="00BD5054">
          <w:rPr>
            <w:rStyle w:val="Hyperlink"/>
            <w:rFonts w:cs="Calibri"/>
            <w:sz w:val="18"/>
            <w:szCs w:val="18"/>
          </w:rPr>
          <w:t>http://www.encj.eu/images/stories/pdf/workinggroups/missionandvision20042005.pdf</w:t>
        </w:r>
      </w:hyperlink>
      <w:r w:rsidR="00397E72" w:rsidRPr="00BD5054">
        <w:rPr>
          <w:rFonts w:cs="Calibri"/>
          <w:color w:val="0000FF"/>
          <w:sz w:val="18"/>
          <w:szCs w:val="18"/>
        </w:rPr>
        <w:t>.</w:t>
      </w:r>
    </w:p>
    <w:p w:rsidR="006D573C" w:rsidRPr="00B616D9" w:rsidRDefault="00831CD1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je misija definisana pod </w:t>
      </w:r>
      <w:r w:rsidR="00A62054">
        <w:rPr>
          <w:rFonts w:cs="Calibri"/>
          <w:color w:val="000000"/>
        </w:rPr>
        <w:t xml:space="preserve">zaglavljem </w:t>
      </w:r>
      <w:r>
        <w:rPr>
          <w:rFonts w:cs="Calibri"/>
          <w:color w:val="000000"/>
        </w:rPr>
        <w:t>„Zašto postojimo“ i obuhvata namere, ciljeve i osnovne vrednosti</w:t>
      </w:r>
      <w:r w:rsidR="00397E72">
        <w:rPr>
          <w:rFonts w:cs="Calibri"/>
          <w:color w:val="000000"/>
        </w:rPr>
        <w:t xml:space="preserve"> ENCJ</w:t>
      </w:r>
      <w:r>
        <w:rPr>
          <w:rFonts w:cs="Calibri"/>
          <w:color w:val="000000"/>
        </w:rPr>
        <w:t xml:space="preserve">. Vizija </w:t>
      </w:r>
      <w:r w:rsidR="00397E72">
        <w:rPr>
          <w:rFonts w:cs="Calibri"/>
          <w:color w:val="000000"/>
        </w:rPr>
        <w:t>ENCJ je izložena</w:t>
      </w:r>
      <w:r>
        <w:rPr>
          <w:rFonts w:cs="Calibri"/>
          <w:color w:val="000000"/>
        </w:rPr>
        <w:t xml:space="preserve"> pod </w:t>
      </w:r>
      <w:r w:rsidR="00A62054">
        <w:rPr>
          <w:rFonts w:cs="Calibri"/>
          <w:color w:val="000000"/>
        </w:rPr>
        <w:t xml:space="preserve">zaglavljem </w:t>
      </w:r>
      <w:r>
        <w:rPr>
          <w:rFonts w:cs="Calibri"/>
          <w:color w:val="000000"/>
        </w:rPr>
        <w:t>„</w:t>
      </w:r>
      <w:r w:rsidR="00A62054">
        <w:rPr>
          <w:rFonts w:cs="Calibri"/>
          <w:color w:val="000000"/>
        </w:rPr>
        <w:t>V</w:t>
      </w:r>
      <w:r>
        <w:rPr>
          <w:rFonts w:cs="Calibri"/>
          <w:color w:val="000000"/>
        </w:rPr>
        <w:t>iđenj</w:t>
      </w:r>
      <w:r w:rsidR="00A62054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onoga što organizacija želi da ostvari u dugom roku,“ a </w:t>
      </w:r>
      <w:r w:rsidR="00397E72">
        <w:rPr>
          <w:rFonts w:cs="Calibri"/>
          <w:color w:val="000000"/>
        </w:rPr>
        <w:t xml:space="preserve">njen </w:t>
      </w:r>
      <w:r>
        <w:rPr>
          <w:rFonts w:cs="Calibri"/>
          <w:color w:val="000000"/>
        </w:rPr>
        <w:t xml:space="preserve">je cilj da organizaciju motiviše da ostvari konkretne rezultate. Ciljevi su obuhvatali informisanje članova o korisnosti ovih sredstava i da im pruži podršku da ih primenjuju </w:t>
      </w:r>
      <w:r w:rsidR="0032482E">
        <w:rPr>
          <w:rFonts w:cs="Calibri"/>
          <w:color w:val="000000"/>
        </w:rPr>
        <w:t xml:space="preserve">ili da poboljšavaju njihovu primenu. U izveštaju su date informacije o </w:t>
      </w:r>
      <w:r w:rsidR="006D573C">
        <w:rPr>
          <w:rFonts w:cs="Calibri"/>
          <w:color w:val="000000"/>
        </w:rPr>
        <w:t>pravosudnim sa</w:t>
      </w:r>
      <w:r w:rsidR="0032482E">
        <w:rPr>
          <w:rFonts w:cs="Calibri"/>
          <w:color w:val="000000"/>
        </w:rPr>
        <w:t xml:space="preserve">vetima, itd.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350BA0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Upravljanje predmetima </w:t>
      </w:r>
      <w:r w:rsidR="00B616D9" w:rsidRPr="00B616D9">
        <w:rPr>
          <w:rFonts w:cs="Calibri,Bold"/>
          <w:b/>
          <w:bCs/>
          <w:color w:val="000000"/>
        </w:rPr>
        <w:t>(2005)</w:t>
      </w:r>
    </w:p>
    <w:p w:rsidR="00B616D9" w:rsidRDefault="00350BA0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</w:rPr>
      </w:pPr>
      <w:r>
        <w:rPr>
          <w:rFonts w:cs="Calibri"/>
          <w:color w:val="000000"/>
        </w:rPr>
        <w:t xml:space="preserve">Ovaj govor, koji je </w:t>
      </w:r>
      <w:r w:rsidR="006D573C">
        <w:rPr>
          <w:rFonts w:cs="Calibri"/>
          <w:color w:val="000000"/>
        </w:rPr>
        <w:t xml:space="preserve">pred </w:t>
      </w:r>
      <w:r>
        <w:rPr>
          <w:rFonts w:cs="Calibri"/>
          <w:color w:val="000000"/>
        </w:rPr>
        <w:t>Generalno</w:t>
      </w:r>
      <w:r w:rsidR="006D573C">
        <w:rPr>
          <w:rFonts w:cs="Calibri"/>
          <w:color w:val="000000"/>
        </w:rPr>
        <w:t>m</w:t>
      </w:r>
      <w:r>
        <w:rPr>
          <w:rFonts w:cs="Calibri"/>
          <w:color w:val="000000"/>
        </w:rPr>
        <w:t xml:space="preserve"> skupštin</w:t>
      </w:r>
      <w:r w:rsidR="006D573C">
        <w:rPr>
          <w:rFonts w:cs="Calibri"/>
          <w:color w:val="000000"/>
        </w:rPr>
        <w:t>om</w:t>
      </w:r>
      <w:r>
        <w:rPr>
          <w:rFonts w:cs="Calibri"/>
          <w:color w:val="000000"/>
        </w:rPr>
        <w:t xml:space="preserve"> ENCJ održao ser Džon Tomas u Barseloni 2005. godine, je dostupan na</w:t>
      </w:r>
      <w:r w:rsidR="00B616D9" w:rsidRPr="00B616D9">
        <w:rPr>
          <w:rFonts w:cs="Calibri"/>
          <w:color w:val="000000"/>
        </w:rPr>
        <w:t>:-</w:t>
      </w:r>
      <w:hyperlink r:id="rId8" w:history="1">
        <w:r w:rsidR="00397E72" w:rsidRPr="00E11627">
          <w:rPr>
            <w:rStyle w:val="Hyperlink"/>
            <w:rFonts w:cs="Calibri"/>
          </w:rPr>
          <w:t>http://www.encj.eu/images/stories/pdf/GA/conferencereportbarcelona.pdf</w:t>
        </w:r>
      </w:hyperlink>
      <w:r w:rsidR="00397E72">
        <w:rPr>
          <w:rFonts w:cs="Calibri"/>
          <w:color w:val="0000FF"/>
        </w:rPr>
        <w:t>.</w:t>
      </w:r>
    </w:p>
    <w:p w:rsidR="00B616D9" w:rsidRDefault="00350BA0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Ser Tomas je u tom govoru (na str. 73-75 izveštaja podnetog Generalnoj skupštini) naglasio da je suština upravljanja predmetima da obezbedi delotvorno sredstvo pomoću koj</w:t>
      </w:r>
      <w:r w:rsidR="006D573C">
        <w:rPr>
          <w:rFonts w:cs="Calibri"/>
          <w:color w:val="000000"/>
        </w:rPr>
        <w:t>eg</w:t>
      </w:r>
      <w:r>
        <w:rPr>
          <w:rFonts w:cs="Calibri"/>
          <w:color w:val="000000"/>
        </w:rPr>
        <w:t xml:space="preserve"> pravosuđe može da obezbedi pravično odlučivanje o predmetima  uz najmanje troškova i naj</w:t>
      </w:r>
      <w:r w:rsidR="00397E72">
        <w:rPr>
          <w:rFonts w:cs="Calibri"/>
          <w:color w:val="000000"/>
        </w:rPr>
        <w:t>brže</w:t>
      </w:r>
      <w:r>
        <w:rPr>
          <w:rFonts w:cs="Calibri"/>
          <w:color w:val="000000"/>
        </w:rPr>
        <w:t xml:space="preserve">. On je u govoru istakao da je na pravosuđu da se bavi ovim pitanjem, jer je za nezavisnost pravosuđa od suštinskog značaja da sudije kontrolišu rad sudova. </w:t>
      </w:r>
    </w:p>
    <w:p w:rsidR="006D573C" w:rsidRPr="00B616D9" w:rsidRDefault="006D573C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350BA0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Pravosuđe i mediji </w:t>
      </w:r>
      <w:r w:rsidR="00B616D9" w:rsidRPr="00B616D9">
        <w:rPr>
          <w:rFonts w:cs="Calibri,Bold"/>
          <w:b/>
          <w:bCs/>
          <w:color w:val="000000"/>
        </w:rPr>
        <w:t>I (2006)</w:t>
      </w:r>
    </w:p>
    <w:p w:rsidR="00B616D9" w:rsidRPr="00B616D9" w:rsidRDefault="00350BA0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</w:t>
      </w:r>
      <w:r w:rsidR="00F33033">
        <w:rPr>
          <w:rFonts w:cs="Calibri"/>
          <w:color w:val="000000"/>
        </w:rPr>
        <w:t>zivom</w:t>
      </w:r>
      <w:r>
        <w:rPr>
          <w:rFonts w:cs="Calibri"/>
          <w:color w:val="000000"/>
        </w:rPr>
        <w:t xml:space="preserve"> „Pravosuđe i mediji</w:t>
      </w:r>
      <w:r w:rsidR="00B616D9" w:rsidRPr="00B616D9">
        <w:rPr>
          <w:rFonts w:cs="Calibri"/>
          <w:color w:val="000000"/>
        </w:rPr>
        <w:t xml:space="preserve"> 2005</w:t>
      </w:r>
      <w:r>
        <w:rPr>
          <w:rFonts w:cs="Calibri"/>
          <w:color w:val="000000"/>
        </w:rPr>
        <w:t>/</w:t>
      </w:r>
      <w:r w:rsidR="00B616D9" w:rsidRPr="00B616D9">
        <w:rPr>
          <w:rFonts w:cs="Calibri"/>
          <w:color w:val="000000"/>
        </w:rPr>
        <w:t>2006”</w:t>
      </w:r>
      <w:r w:rsidR="006D573C">
        <w:rPr>
          <w:rFonts w:cs="Calibri"/>
          <w:color w:val="000000"/>
        </w:rPr>
        <w:t>,</w:t>
      </w:r>
      <w:r w:rsidR="0031337C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je dostupan na</w:t>
      </w:r>
      <w:r w:rsidR="00B616D9" w:rsidRPr="00B616D9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color w:val="0000FF"/>
          <w:sz w:val="18"/>
          <w:szCs w:val="18"/>
        </w:rPr>
      </w:pPr>
      <w:hyperlink r:id="rId9" w:history="1">
        <w:r w:rsidR="00397E72" w:rsidRPr="0031337C">
          <w:rPr>
            <w:rStyle w:val="Hyperlink"/>
            <w:rFonts w:cs="Calibri"/>
            <w:b/>
            <w:sz w:val="18"/>
            <w:szCs w:val="18"/>
          </w:rPr>
          <w:t>http://www.encj.eu/images/stories/pdf/workinggroups/judiciaryandmedia20052006.pdf</w:t>
        </w:r>
      </w:hyperlink>
      <w:r w:rsidR="00397E72" w:rsidRPr="0031337C">
        <w:rPr>
          <w:rFonts w:cs="Calibri"/>
          <w:b/>
          <w:color w:val="0000FF"/>
          <w:sz w:val="18"/>
          <w:szCs w:val="18"/>
        </w:rPr>
        <w:t>.</w:t>
      </w:r>
    </w:p>
    <w:p w:rsidR="00350BA0" w:rsidRPr="00B616D9" w:rsidRDefault="00350BA0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tom se izveštaju razmatraju različite teme i nalazi do kojih se došlo tokom prethodnih godina. Neke od naznačajnijih tema kojima se njegovi autori bave odnose se na uticaj medija na poverenje </w:t>
      </w:r>
      <w:r w:rsidR="00397E72">
        <w:rPr>
          <w:rFonts w:cs="Calibri"/>
          <w:color w:val="000000"/>
        </w:rPr>
        <w:t xml:space="preserve">javnosti </w:t>
      </w:r>
      <w:r>
        <w:rPr>
          <w:rFonts w:cs="Calibri"/>
          <w:color w:val="000000"/>
        </w:rPr>
        <w:t xml:space="preserve">u pravosuđe, potrebu ograničene uloge nacionalnih organizacija, odnos između medija i pravosuđa i </w:t>
      </w:r>
      <w:r w:rsidRPr="006D573C">
        <w:rPr>
          <w:rFonts w:cs="Calibri"/>
          <w:color w:val="000000"/>
        </w:rPr>
        <w:t xml:space="preserve">svakodnevnu praksu u različitim zemljama. U njemu je istaknuta potreba za </w:t>
      </w:r>
      <w:r w:rsidR="008476D7" w:rsidRPr="006D573C">
        <w:rPr>
          <w:rFonts w:cs="Calibri"/>
          <w:color w:val="000000"/>
        </w:rPr>
        <w:t xml:space="preserve">uspostavljanjem </w:t>
      </w:r>
      <w:r w:rsidR="006D573C" w:rsidRPr="006D573C">
        <w:rPr>
          <w:rFonts w:cs="Calibri"/>
          <w:color w:val="000000"/>
        </w:rPr>
        <w:t xml:space="preserve">inventara </w:t>
      </w:r>
      <w:r w:rsidRPr="006D573C">
        <w:rPr>
          <w:rFonts w:cs="Calibri"/>
          <w:color w:val="000000"/>
        </w:rPr>
        <w:t>najbolj</w:t>
      </w:r>
      <w:r w:rsidR="008476D7" w:rsidRPr="006D573C">
        <w:rPr>
          <w:rFonts w:cs="Calibri"/>
          <w:color w:val="000000"/>
        </w:rPr>
        <w:t>e</w:t>
      </w:r>
      <w:r w:rsidRPr="006D573C">
        <w:rPr>
          <w:rFonts w:cs="Calibri"/>
          <w:color w:val="000000"/>
        </w:rPr>
        <w:t xml:space="preserve"> praks</w:t>
      </w:r>
      <w:r w:rsidR="008476D7" w:rsidRPr="006D573C">
        <w:rPr>
          <w:rFonts w:cs="Calibri"/>
          <w:color w:val="000000"/>
        </w:rPr>
        <w:t>e</w:t>
      </w:r>
      <w:r w:rsidRPr="006D573C">
        <w:rPr>
          <w:rFonts w:cs="Calibri"/>
          <w:color w:val="000000"/>
        </w:rPr>
        <w:t>.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A536F0" w:rsidRDefault="00A536F0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lastRenderedPageBreak/>
        <w:t>Mi</w:t>
      </w:r>
      <w:r w:rsidR="00350BA0">
        <w:rPr>
          <w:rFonts w:cs="Calibri,Bold"/>
          <w:b/>
          <w:bCs/>
          <w:color w:val="000000"/>
        </w:rPr>
        <w:t xml:space="preserve">sija i vizija </w:t>
      </w:r>
      <w:r w:rsidRPr="00B616D9">
        <w:rPr>
          <w:rFonts w:cs="Calibri,Bold"/>
          <w:b/>
          <w:bCs/>
          <w:color w:val="000000"/>
        </w:rPr>
        <w:t>II (2006)</w:t>
      </w:r>
    </w:p>
    <w:p w:rsidR="00B616D9" w:rsidRPr="0031337C" w:rsidRDefault="00350BA0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color w:val="0000FF"/>
          <w:sz w:val="16"/>
          <w:szCs w:val="16"/>
        </w:rPr>
      </w:pPr>
      <w:r>
        <w:rPr>
          <w:rFonts w:cs="Calibri"/>
          <w:color w:val="000000"/>
        </w:rPr>
        <w:t>Izveštaj, pod nazivom „Misija i vizija – razvoj strategije za savet“</w:t>
      </w:r>
      <w:r w:rsidR="007B17BE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je dostupan na</w:t>
      </w:r>
      <w:r w:rsidR="00B616D9" w:rsidRPr="00B616D9">
        <w:rPr>
          <w:rFonts w:cs="Calibri"/>
          <w:color w:val="000000"/>
        </w:rPr>
        <w:t>:</w:t>
      </w:r>
      <w:r w:rsidR="0031337C">
        <w:rPr>
          <w:rFonts w:cs="Calibri"/>
          <w:color w:val="000000"/>
        </w:rPr>
        <w:t xml:space="preserve"> </w:t>
      </w:r>
      <w:hyperlink r:id="rId10" w:history="1">
        <w:r w:rsidR="007B17BE" w:rsidRPr="0031337C">
          <w:rPr>
            <w:rStyle w:val="Hyperlink"/>
            <w:b/>
            <w:sz w:val="16"/>
            <w:szCs w:val="16"/>
          </w:rPr>
          <w:t>http://www.encj.eu/images/stories/pdf/workinggroups/encj_report_on_mission_and_vision_developing_strategy_council_2005_2006.pdf</w:t>
        </w:r>
      </w:hyperlink>
      <w:r w:rsidR="006D573C" w:rsidRPr="0031337C">
        <w:rPr>
          <w:rFonts w:cs="Calibri"/>
          <w:b/>
          <w:color w:val="0000FF"/>
          <w:sz w:val="16"/>
          <w:szCs w:val="16"/>
        </w:rPr>
        <w:t xml:space="preserve">. </w:t>
      </w:r>
    </w:p>
    <w:p w:rsidR="006D573C" w:rsidRPr="00B616D9" w:rsidRDefault="006D573C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Strateško upravljanje je obuhvatalo definisanje misije, vizije, vrednosti i strateškog plana. Njime je poboljšan kvalitet rada organizacije i </w:t>
      </w:r>
      <w:r w:rsidR="007B17BE">
        <w:rPr>
          <w:rFonts w:cs="Calibri"/>
          <w:color w:val="000000"/>
        </w:rPr>
        <w:t>bavio se</w:t>
      </w:r>
      <w:r>
        <w:rPr>
          <w:rFonts w:cs="Calibri"/>
          <w:color w:val="000000"/>
        </w:rPr>
        <w:t xml:space="preserve"> ulog</w:t>
      </w:r>
      <w:r w:rsidR="007B17BE">
        <w:rPr>
          <w:rFonts w:cs="Calibri"/>
          <w:color w:val="000000"/>
        </w:rPr>
        <w:t>om</w:t>
      </w:r>
      <w:r>
        <w:rPr>
          <w:rFonts w:cs="Calibri"/>
          <w:color w:val="000000"/>
        </w:rPr>
        <w:t xml:space="preserve"> i položaj</w:t>
      </w:r>
      <w:r w:rsidR="007B17BE">
        <w:rPr>
          <w:rFonts w:cs="Calibri"/>
          <w:color w:val="000000"/>
        </w:rPr>
        <w:t>em</w:t>
      </w:r>
      <w:r>
        <w:rPr>
          <w:rFonts w:cs="Calibri"/>
          <w:color w:val="000000"/>
        </w:rPr>
        <w:t xml:space="preserve"> pravosuđa, samokritik</w:t>
      </w:r>
      <w:r w:rsidR="007B17BE">
        <w:rPr>
          <w:rFonts w:cs="Calibri"/>
          <w:color w:val="000000"/>
        </w:rPr>
        <w:t>om</w:t>
      </w:r>
      <w:r>
        <w:rPr>
          <w:rFonts w:cs="Calibri"/>
          <w:color w:val="000000"/>
        </w:rPr>
        <w:t xml:space="preserve"> i poverenj</w:t>
      </w:r>
      <w:r w:rsidR="007B17BE">
        <w:rPr>
          <w:rFonts w:cs="Calibri"/>
          <w:color w:val="000000"/>
        </w:rPr>
        <w:t>em</w:t>
      </w:r>
      <w:r>
        <w:rPr>
          <w:rFonts w:cs="Calibri"/>
          <w:color w:val="000000"/>
        </w:rPr>
        <w:t xml:space="preserve">. Poverenja, strategija, kvalitet rada i transparenost su međusobno povezani. </w:t>
      </w:r>
    </w:p>
    <w:p w:rsidR="006D573C" w:rsidRPr="00B616D9" w:rsidRDefault="006D573C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Akcioni okvir sadrži tri osnovna procesa: </w:t>
      </w:r>
      <w:r w:rsidR="00B616D9" w:rsidRPr="00B616D9">
        <w:rPr>
          <w:rFonts w:cs="Calibri"/>
          <w:color w:val="000000"/>
        </w:rPr>
        <w:t>(A) formul</w:t>
      </w:r>
      <w:r>
        <w:rPr>
          <w:rFonts w:cs="Calibri"/>
          <w:color w:val="000000"/>
        </w:rPr>
        <w:t>isanje</w:t>
      </w:r>
      <w:r w:rsidR="00B616D9" w:rsidRPr="00B616D9">
        <w:rPr>
          <w:rFonts w:cs="Calibri"/>
          <w:color w:val="000000"/>
        </w:rPr>
        <w:t>, (B)</w:t>
      </w:r>
      <w:r>
        <w:rPr>
          <w:rFonts w:cs="Calibri"/>
          <w:color w:val="000000"/>
        </w:rPr>
        <w:t xml:space="preserve"> sprovođenje i </w:t>
      </w:r>
      <w:r w:rsidR="00B616D9" w:rsidRPr="00B616D9">
        <w:rPr>
          <w:rFonts w:cs="Calibri"/>
          <w:color w:val="000000"/>
        </w:rPr>
        <w:t>(C) evalu</w:t>
      </w:r>
      <w:r>
        <w:rPr>
          <w:rFonts w:cs="Calibri"/>
          <w:color w:val="000000"/>
        </w:rPr>
        <w:t xml:space="preserve">iranje strategije. Prvi ciklus je predstavljao eksperiment: svaki sledeći ciklus je bio </w:t>
      </w:r>
      <w:r w:rsidR="007B17BE">
        <w:rPr>
          <w:rFonts w:cs="Calibri"/>
          <w:color w:val="000000"/>
        </w:rPr>
        <w:t>uspešniji</w:t>
      </w:r>
      <w:r>
        <w:rPr>
          <w:rFonts w:cs="Calibri"/>
          <w:color w:val="000000"/>
        </w:rPr>
        <w:t xml:space="preserve">. Formulisanje strategije obuhvata stratešku analizu, strateško usmeravanje i strateško planiranje.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Mis</w:t>
      </w:r>
      <w:r w:rsidR="006D573C">
        <w:rPr>
          <w:rFonts w:cs="Calibri,Bold"/>
          <w:b/>
          <w:bCs/>
          <w:color w:val="000000"/>
        </w:rPr>
        <w:t xml:space="preserve">ija i vizija </w:t>
      </w:r>
      <w:r w:rsidRPr="00B616D9">
        <w:rPr>
          <w:rFonts w:cs="Calibri,Bold"/>
          <w:b/>
          <w:bCs/>
          <w:color w:val="000000"/>
        </w:rPr>
        <w:t>III (2007)</w:t>
      </w:r>
    </w:p>
    <w:p w:rsidR="00B616D9" w:rsidRPr="00BD5054" w:rsidRDefault="006D573C" w:rsidP="00BD5054">
      <w:pPr>
        <w:autoSpaceDE w:val="0"/>
        <w:autoSpaceDN w:val="0"/>
        <w:adjustRightInd w:val="0"/>
        <w:spacing w:after="120" w:line="240" w:lineRule="auto"/>
        <w:rPr>
          <w:rFonts w:cs="Calibri"/>
          <w:color w:val="0000FF"/>
          <w:sz w:val="18"/>
          <w:szCs w:val="18"/>
        </w:rPr>
      </w:pPr>
      <w:r>
        <w:rPr>
          <w:rFonts w:cs="Calibri"/>
          <w:color w:val="000000"/>
        </w:rPr>
        <w:t xml:space="preserve">Dokument pod nazivom „Misija i Vizija III Radne grupe ENCJ – Ako ne možete da prepoznate neuspeh, ne možete da ga </w:t>
      </w:r>
      <w:r w:rsidR="00994439">
        <w:rPr>
          <w:rFonts w:cs="Calibri"/>
          <w:color w:val="000000"/>
        </w:rPr>
        <w:t>korigujete</w:t>
      </w:r>
      <w:r>
        <w:rPr>
          <w:rFonts w:cs="Calibri"/>
          <w:color w:val="000000"/>
        </w:rPr>
        <w:t>: izveštaj o upravljanju i ocenjivanju kvaliteta rada saveta ili pravosudnog sistema“ je dostupan na</w:t>
      </w:r>
      <w:r w:rsidR="00B616D9" w:rsidRPr="00B616D9">
        <w:rPr>
          <w:rFonts w:cs="Calibri"/>
          <w:color w:val="000000"/>
        </w:rPr>
        <w:t>:</w:t>
      </w:r>
      <w:r w:rsidR="0031337C">
        <w:rPr>
          <w:rFonts w:cs="Calibri"/>
          <w:color w:val="000000"/>
        </w:rPr>
        <w:t xml:space="preserve"> </w:t>
      </w:r>
      <w:hyperlink r:id="rId11" w:history="1">
        <w:r w:rsidR="007B17BE" w:rsidRPr="00BD5054">
          <w:rPr>
            <w:rStyle w:val="Hyperlink"/>
            <w:rFonts w:cs="Calibri"/>
            <w:sz w:val="18"/>
            <w:szCs w:val="18"/>
          </w:rPr>
          <w:t>http://www.encj.eu/images/stories/pdf/workinggroups/missionvision20062007en.pdf</w:t>
        </w:r>
      </w:hyperlink>
      <w:r w:rsidR="007B17BE" w:rsidRPr="00BD5054">
        <w:rPr>
          <w:rFonts w:cs="Calibri"/>
          <w:color w:val="0000FF"/>
          <w:sz w:val="18"/>
          <w:szCs w:val="18"/>
        </w:rPr>
        <w:t>.</w:t>
      </w:r>
    </w:p>
    <w:p w:rsidR="006D573C" w:rsidRPr="00B616D9" w:rsidRDefault="006D573C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njemu su opisani sistemi strateškog upravljanja </w:t>
      </w:r>
      <w:r w:rsidR="007B17BE">
        <w:rPr>
          <w:rFonts w:cs="Calibri"/>
          <w:color w:val="000000"/>
        </w:rPr>
        <w:t>i</w:t>
      </w:r>
      <w:r>
        <w:rPr>
          <w:rFonts w:cs="Calibri"/>
          <w:color w:val="000000"/>
        </w:rPr>
        <w:t xml:space="preserve"> merenj</w:t>
      </w:r>
      <w:r w:rsidR="007B17BE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kvaliteta rada. Višegodišnji strateški dnevni red je datu u sukcesivnim godišnjim planovima. Rezultati se objavljuju svake godine. Za sprovođenje se koristi sistem za planiranje i odgovornost. </w:t>
      </w:r>
    </w:p>
    <w:p w:rsidR="00994439" w:rsidRPr="00B616D9" w:rsidRDefault="0099443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 sadrž</w:t>
      </w:r>
      <w:r w:rsidR="007B17BE">
        <w:rPr>
          <w:rFonts w:cs="Calibri"/>
          <w:color w:val="000000"/>
        </w:rPr>
        <w:t>i</w:t>
      </w:r>
      <w:r>
        <w:rPr>
          <w:rFonts w:cs="Calibri"/>
          <w:color w:val="000000"/>
        </w:rPr>
        <w:t xml:space="preserve"> odeljak pod nazivom: Evaluacija politike i primena ključnih pokazatelja za merenje kvaliteta rada, koji trenutno obuhvataju kvalitet, proizvodnju i finansije, ljud</w:t>
      </w:r>
      <w:r w:rsidR="007B17BE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i organizaciju i razvoj.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99443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Finansiranje sudova i odgovornost </w:t>
      </w:r>
      <w:r w:rsidR="00B616D9" w:rsidRPr="00B616D9">
        <w:rPr>
          <w:rFonts w:cs="Calibri,Bold"/>
          <w:b/>
          <w:bCs/>
          <w:color w:val="000000"/>
        </w:rPr>
        <w:t>(2007)</w:t>
      </w:r>
    </w:p>
    <w:p w:rsidR="00B616D9" w:rsidRDefault="00994439" w:rsidP="00BD5054">
      <w:pPr>
        <w:autoSpaceDE w:val="0"/>
        <w:autoSpaceDN w:val="0"/>
        <w:adjustRightInd w:val="0"/>
        <w:spacing w:after="120" w:line="240" w:lineRule="auto"/>
        <w:jc w:val="both"/>
      </w:pPr>
      <w:r>
        <w:rPr>
          <w:rFonts w:cs="Calibri"/>
          <w:color w:val="000000"/>
        </w:rPr>
        <w:t xml:space="preserve">Završni izveštaj radne grupe ENCJ </w:t>
      </w:r>
      <w:r w:rsidR="00BA7ECB">
        <w:rPr>
          <w:rFonts w:cs="Calibri"/>
          <w:color w:val="000000"/>
        </w:rPr>
        <w:t>o</w:t>
      </w:r>
      <w:r>
        <w:rPr>
          <w:rFonts w:cs="Calibri"/>
          <w:color w:val="000000"/>
        </w:rPr>
        <w:t xml:space="preserve"> finansiranj</w:t>
      </w:r>
      <w:r w:rsidR="00BA7ECB">
        <w:rPr>
          <w:rFonts w:cs="Calibri"/>
          <w:color w:val="000000"/>
        </w:rPr>
        <w:t>u</w:t>
      </w:r>
      <w:r>
        <w:rPr>
          <w:rFonts w:cs="Calibri"/>
          <w:color w:val="000000"/>
        </w:rPr>
        <w:t xml:space="preserve"> sudova i odgovornost</w:t>
      </w:r>
      <w:r w:rsidR="00BA7ECB">
        <w:rPr>
          <w:rFonts w:cs="Calibri"/>
          <w:color w:val="000000"/>
        </w:rPr>
        <w:t>i</w:t>
      </w:r>
      <w:r w:rsidR="00B616D9" w:rsidRPr="00B616D9">
        <w:rPr>
          <w:rFonts w:cs="Calibri"/>
          <w:color w:val="000000"/>
        </w:rPr>
        <w:t xml:space="preserve">(2006-07) </w:t>
      </w:r>
      <w:r>
        <w:rPr>
          <w:rFonts w:cs="Calibri"/>
          <w:color w:val="000000"/>
        </w:rPr>
        <w:t>je dostupan na</w:t>
      </w:r>
      <w:r w:rsidR="00B616D9" w:rsidRPr="00B616D9">
        <w:rPr>
          <w:rFonts w:cs="Calibri"/>
          <w:color w:val="000000"/>
        </w:rPr>
        <w:t>:</w:t>
      </w:r>
      <w:r w:rsidR="0031337C">
        <w:rPr>
          <w:rFonts w:cs="Calibri"/>
          <w:color w:val="000000"/>
        </w:rPr>
        <w:t xml:space="preserve"> </w:t>
      </w:r>
      <w:hyperlink r:id="rId12" w:history="1">
        <w:r w:rsidR="00BA7ECB" w:rsidRPr="0031337C">
          <w:rPr>
            <w:rStyle w:val="Hyperlink"/>
            <w:sz w:val="18"/>
            <w:szCs w:val="18"/>
          </w:rPr>
          <w:t>http://www.encj.eu/images/stories/pdf/workinggroups/encj_report_on_courts_funding_and_accountability_2006_2007.pdf</w:t>
        </w:r>
      </w:hyperlink>
      <w:r w:rsidR="001572D8" w:rsidRPr="0031337C">
        <w:rPr>
          <w:sz w:val="18"/>
          <w:szCs w:val="18"/>
        </w:rPr>
        <w:t>.</w:t>
      </w:r>
    </w:p>
    <w:p w:rsidR="00BA7ECB" w:rsidRDefault="00BA7EC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BA7ECB">
        <w:rPr>
          <w:rFonts w:cs="Calibri"/>
          <w:color w:val="000000"/>
        </w:rPr>
        <w:t>Izveštaj predstavlja kompilaciju odgovora Država članica na podroban upitnik ENCJ koji se bavio dvema temama, finansiranjem sudova i odgovornošću.</w:t>
      </w:r>
    </w:p>
    <w:p w:rsidR="00BA7ECB" w:rsidRPr="00B616D9" w:rsidRDefault="00BA7EC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99443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Uzajamno poverenje </w:t>
      </w:r>
      <w:r w:rsidR="00B616D9" w:rsidRPr="00B616D9">
        <w:rPr>
          <w:rFonts w:cs="Calibri,Bold"/>
          <w:b/>
          <w:bCs/>
          <w:color w:val="000000"/>
        </w:rPr>
        <w:t>I (2007)</w:t>
      </w:r>
    </w:p>
    <w:p w:rsidR="00B616D9" w:rsidRPr="00B616D9" w:rsidRDefault="0099443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 pod nazivom „Radna grupa ENCJ o jačanju uzajamnog poverenja u Evropskoj uniji – izveštaj za Generalnu skupštinu 6/7. juna 2007“ je dostupan na</w:t>
      </w:r>
      <w:r w:rsidR="0031337C">
        <w:rPr>
          <w:rFonts w:cs="Calibri"/>
          <w:color w:val="000000"/>
        </w:rPr>
        <w:t xml:space="preserve">: 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3" w:history="1">
        <w:r w:rsidR="00BA7ECB" w:rsidRPr="0031337C">
          <w:rPr>
            <w:rStyle w:val="Hyperlink"/>
            <w:rFonts w:cs="Calibri"/>
            <w:sz w:val="18"/>
            <w:szCs w:val="18"/>
          </w:rPr>
          <w:t>http://www.encj.eu/images/stories/pdf/mutualconfidence/mc2006-2007en.pdf</w:t>
        </w:r>
      </w:hyperlink>
      <w:r w:rsidR="00BA7ECB" w:rsidRPr="0031337C">
        <w:rPr>
          <w:rFonts w:cs="Calibri"/>
          <w:color w:val="0000FF"/>
          <w:sz w:val="18"/>
          <w:szCs w:val="18"/>
        </w:rPr>
        <w:t>.</w:t>
      </w:r>
    </w:p>
    <w:p w:rsidR="00B616D9" w:rsidRDefault="0099443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izveštaju je preporučen postepen i praktičan pristup izgradnji uzajamnog poverenja. On sadrži tabelu relevantnih zvaničnih internet stranica Država članica.</w:t>
      </w:r>
    </w:p>
    <w:p w:rsidR="00994439" w:rsidRPr="00B616D9" w:rsidRDefault="0099443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99443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Upravljanje kvalitetom rada </w:t>
      </w:r>
      <w:r w:rsidR="00B616D9" w:rsidRPr="00B616D9">
        <w:rPr>
          <w:rFonts w:cs="Calibri,Bold"/>
          <w:b/>
          <w:bCs/>
          <w:color w:val="000000"/>
        </w:rPr>
        <w:t>(2007)</w:t>
      </w:r>
    </w:p>
    <w:p w:rsidR="00B616D9" w:rsidRPr="0031337C" w:rsidRDefault="0099443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r>
        <w:rPr>
          <w:rFonts w:cs="Calibri"/>
          <w:color w:val="000000"/>
        </w:rPr>
        <w:t>Izveštaj</w:t>
      </w:r>
      <w:r w:rsidR="00BA7EC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pod nazivom „Završni izveštaj ENCJ o upravljanju kvalitetom rada za 2006/2007. godinu“</w:t>
      </w:r>
      <w:r w:rsidR="00BA7EC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je dostupan na</w:t>
      </w:r>
      <w:r w:rsidR="0031337C">
        <w:rPr>
          <w:rFonts w:cs="Calibri"/>
          <w:color w:val="000000"/>
        </w:rPr>
        <w:t xml:space="preserve">: </w:t>
      </w:r>
      <w:r w:rsidR="00B616D9" w:rsidRPr="0031337C">
        <w:rPr>
          <w:rFonts w:cs="Calibri"/>
          <w:color w:val="0000FF"/>
          <w:sz w:val="18"/>
          <w:szCs w:val="18"/>
        </w:rPr>
        <w:t>http://www.encj.eu/images/stories/pdf/workinggroups/performancemamangenemt20062007.pdf</w:t>
      </w:r>
      <w:r w:rsidR="00BA7ECB" w:rsidRPr="0031337C">
        <w:rPr>
          <w:rFonts w:cs="Calibri"/>
          <w:color w:val="0000FF"/>
          <w:sz w:val="18"/>
          <w:szCs w:val="18"/>
        </w:rPr>
        <w:t>.</w:t>
      </w:r>
    </w:p>
    <w:p w:rsidR="00B616D9" w:rsidRDefault="0099443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dokumentu je </w:t>
      </w:r>
      <w:r w:rsidR="00BA7ECB">
        <w:rPr>
          <w:rFonts w:cs="Calibri"/>
          <w:color w:val="000000"/>
        </w:rPr>
        <w:t>izložena</w:t>
      </w:r>
      <w:r>
        <w:rPr>
          <w:rFonts w:cs="Calibri"/>
          <w:color w:val="000000"/>
        </w:rPr>
        <w:t xml:space="preserve"> podrobno obrazložena sinteza svih odgovora na upitnik pod nazivom „Upravljanje kvalitetom rada“ koji je sastavila radna grupa</w:t>
      </w:r>
      <w:r w:rsidR="00B616D9" w:rsidRPr="00B616D9">
        <w:rPr>
          <w:rFonts w:cs="Calibri"/>
          <w:color w:val="000000"/>
        </w:rPr>
        <w:t>.</w:t>
      </w:r>
    </w:p>
    <w:p w:rsidR="00994439" w:rsidRPr="00B616D9" w:rsidRDefault="0099443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99443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Uzajamno poverenje </w:t>
      </w:r>
      <w:r w:rsidR="00B616D9" w:rsidRPr="00B616D9">
        <w:rPr>
          <w:rFonts w:cs="Calibri,Bold"/>
          <w:b/>
          <w:bCs/>
          <w:color w:val="000000"/>
        </w:rPr>
        <w:t>II (2008)</w:t>
      </w:r>
    </w:p>
    <w:p w:rsidR="00B616D9" w:rsidRPr="00B616D9" w:rsidRDefault="0099443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</w:t>
      </w:r>
      <w:r w:rsidR="00BA7EC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pod nazivom „Jačanje uzajamnog poverenja“</w:t>
      </w:r>
      <w:r w:rsidR="00BA7EC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je dostupan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4" w:history="1">
        <w:r w:rsidR="00BA7ECB" w:rsidRPr="0031337C">
          <w:rPr>
            <w:rStyle w:val="Hyperlink"/>
            <w:rFonts w:cs="Calibri"/>
            <w:sz w:val="18"/>
            <w:szCs w:val="18"/>
          </w:rPr>
          <w:t>http://www.encj.eu/images/stories/pdf/mutualconfidence/m2007-2008en.pdf</w:t>
        </w:r>
      </w:hyperlink>
      <w:r w:rsidR="00BA7ECB" w:rsidRPr="0031337C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BA5FA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se preporučuju praktični koraci koje ENCJ može da preduzima radi unapređenja uzajamnog poverenja, uključujući i učešće u Forumu za pravdu Evropske komisije, saradnju sa ostalim institucijama </w:t>
      </w:r>
      <w:r>
        <w:rPr>
          <w:rFonts w:cs="Calibri"/>
          <w:color w:val="000000"/>
        </w:rPr>
        <w:lastRenderedPageBreak/>
        <w:t>EU i EJTN (</w:t>
      </w:r>
      <w:r w:rsidRPr="00BA7ECB">
        <w:rPr>
          <w:rFonts w:cs="Calibri"/>
          <w:i/>
          <w:color w:val="000000"/>
        </w:rPr>
        <w:t>Evropsk</w:t>
      </w:r>
      <w:r w:rsidR="00BA7ECB" w:rsidRPr="00BA7ECB">
        <w:rPr>
          <w:rFonts w:cs="Calibri"/>
          <w:i/>
          <w:color w:val="000000"/>
        </w:rPr>
        <w:t>om</w:t>
      </w:r>
      <w:r w:rsidRPr="00BA7ECB">
        <w:rPr>
          <w:rFonts w:cs="Calibri"/>
          <w:i/>
          <w:color w:val="000000"/>
        </w:rPr>
        <w:t xml:space="preserve"> mrež</w:t>
      </w:r>
      <w:r w:rsidR="00BA7ECB" w:rsidRPr="00BA7ECB">
        <w:rPr>
          <w:rFonts w:cs="Calibri"/>
          <w:i/>
          <w:color w:val="000000"/>
        </w:rPr>
        <w:t>om</w:t>
      </w:r>
      <w:r w:rsidRPr="00BA7ECB">
        <w:rPr>
          <w:rFonts w:cs="Calibri"/>
          <w:i/>
          <w:color w:val="000000"/>
        </w:rPr>
        <w:t xml:space="preserve"> za pravosudnu obuku</w:t>
      </w:r>
      <w:r w:rsidR="00BA7ECB" w:rsidRPr="00BA7ECB">
        <w:rPr>
          <w:rFonts w:cs="Calibri"/>
          <w:i/>
          <w:color w:val="000000"/>
        </w:rPr>
        <w:t>, prim.prev</w:t>
      </w:r>
      <w:r>
        <w:rPr>
          <w:rFonts w:cs="Calibri"/>
          <w:color w:val="000000"/>
        </w:rPr>
        <w:t>) i dopunjeni su kontakt detalji objavljeni u prethodnom izveštaju</w:t>
      </w:r>
      <w:r w:rsidR="00B616D9" w:rsidRPr="00B616D9">
        <w:rPr>
          <w:rFonts w:cs="Calibri"/>
          <w:color w:val="000000"/>
        </w:rPr>
        <w:t>.</w:t>
      </w:r>
    </w:p>
    <w:p w:rsidR="00BA5FA3" w:rsidRDefault="00BA5FA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31337C" w:rsidRDefault="00BA5FA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31337C">
        <w:rPr>
          <w:rFonts w:cs="Calibri,Bold"/>
          <w:b/>
          <w:bCs/>
          <w:color w:val="000000"/>
        </w:rPr>
        <w:t xml:space="preserve">Budimpeštanska rezolucija o savetima pravosuđa </w:t>
      </w:r>
      <w:r w:rsidR="00B616D9" w:rsidRPr="0031337C">
        <w:rPr>
          <w:rFonts w:cs="Calibri,Bold"/>
          <w:b/>
          <w:bCs/>
          <w:color w:val="000000"/>
        </w:rPr>
        <w:t>(2008)</w:t>
      </w:r>
    </w:p>
    <w:p w:rsidR="00B616D9" w:rsidRPr="00B616D9" w:rsidRDefault="00BA5FA3" w:rsidP="00BD5054">
      <w:pPr>
        <w:autoSpaceDE w:val="0"/>
        <w:autoSpaceDN w:val="0"/>
        <w:adjustRightInd w:val="0"/>
        <w:spacing w:after="120" w:line="240" w:lineRule="auto"/>
        <w:rPr>
          <w:rFonts w:cs="Calibri"/>
          <w:color w:val="0000FF"/>
        </w:rPr>
      </w:pPr>
      <w:r>
        <w:rPr>
          <w:rFonts w:cs="Calibri"/>
          <w:color w:val="000000"/>
        </w:rPr>
        <w:t>Rezolucija, pod nazivom „Samouprava za pravosuđe: postizanje ravnoteže između nezavisnosti i odgovornosti“, je dostupna na</w:t>
      </w:r>
      <w:r w:rsidR="0031337C">
        <w:rPr>
          <w:rFonts w:cs="Calibri"/>
          <w:color w:val="000000"/>
        </w:rPr>
        <w:t xml:space="preserve">: </w:t>
      </w:r>
      <w:r w:rsidR="00BA7ECB" w:rsidRPr="0031337C">
        <w:rPr>
          <w:rFonts w:cs="Calibri"/>
          <w:color w:val="000000"/>
          <w:sz w:val="18"/>
          <w:szCs w:val="18"/>
        </w:rPr>
        <w:t>h</w:t>
      </w:r>
      <w:r w:rsidR="00B616D9" w:rsidRPr="0031337C">
        <w:rPr>
          <w:rFonts w:cs="Calibri"/>
          <w:color w:val="0000FF"/>
          <w:sz w:val="18"/>
          <w:szCs w:val="18"/>
        </w:rPr>
        <w:t>ttp://www.encj.eu/images/stories/pdf/opinions/budapestresolution.pdf</w:t>
      </w:r>
      <w:r w:rsidR="001572D8" w:rsidRPr="0031337C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BA5FA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rezoluciji su naveden</w:t>
      </w:r>
      <w:r w:rsidR="00BA7ECB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opšta načela koje ENCJ afirmiše u pogledu upravljanja i rada svih saveta pravosuđa</w:t>
      </w:r>
      <w:r w:rsidR="00B616D9" w:rsidRPr="00B616D9">
        <w:rPr>
          <w:rFonts w:cs="Calibri"/>
          <w:color w:val="000000"/>
        </w:rPr>
        <w:t>.</w:t>
      </w:r>
    </w:p>
    <w:p w:rsidR="00BA5FA3" w:rsidRDefault="00BA5FA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BA5FA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>Upravljanje kvalitetom</w:t>
      </w:r>
      <w:r w:rsidR="00B616D9" w:rsidRPr="00B616D9">
        <w:rPr>
          <w:rFonts w:cs="Calibri,Bold"/>
          <w:b/>
          <w:bCs/>
          <w:color w:val="000000"/>
        </w:rPr>
        <w:t xml:space="preserve"> (2008)</w:t>
      </w:r>
    </w:p>
    <w:p w:rsidR="00BA7ECB" w:rsidRPr="00B616D9" w:rsidRDefault="00BA7EC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A5FA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</w:t>
      </w:r>
      <w:r w:rsidR="00BA7ECB">
        <w:rPr>
          <w:rFonts w:cs="Calibri"/>
          <w:color w:val="000000"/>
        </w:rPr>
        <w:t xml:space="preserve">, </w:t>
      </w:r>
      <w:r>
        <w:rPr>
          <w:rFonts w:cs="Calibri"/>
          <w:color w:val="000000"/>
        </w:rPr>
        <w:t>pod nazivom Radna grupa ENCJ za upravljanje kvalitetom: Završni izveštaj</w:t>
      </w:r>
      <w:r w:rsidR="00BA7EC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i Registar aktivnosti vezanih za kvalitet, su dostupni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FF"/>
          <w:sz w:val="18"/>
          <w:szCs w:val="18"/>
        </w:rPr>
      </w:pPr>
      <w:hyperlink r:id="rId15" w:history="1">
        <w:r w:rsidR="00BA7ECB" w:rsidRPr="0031337C">
          <w:rPr>
            <w:rStyle w:val="Hyperlink"/>
            <w:rFonts w:cs="Calibri"/>
            <w:sz w:val="18"/>
            <w:szCs w:val="18"/>
          </w:rPr>
          <w:t>http://www.encj.eu/images/stories/pdf/workinggroups/reportqm20072008.pdf</w:t>
        </w:r>
      </w:hyperlink>
      <w:r w:rsidR="00BA7ECB" w:rsidRPr="0031337C">
        <w:rPr>
          <w:rFonts w:cs="Calibri"/>
          <w:color w:val="0000FF"/>
          <w:sz w:val="18"/>
          <w:szCs w:val="18"/>
        </w:rPr>
        <w:t xml:space="preserve">, </w:t>
      </w:r>
      <w:r w:rsidR="00BA7ECB" w:rsidRPr="0031337C">
        <w:rPr>
          <w:rFonts w:cs="Calibri"/>
          <w:sz w:val="18"/>
          <w:szCs w:val="18"/>
        </w:rPr>
        <w:t>i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6" w:history="1">
        <w:r w:rsidR="00BA7ECB" w:rsidRPr="0031337C">
          <w:rPr>
            <w:rStyle w:val="Hyperlink"/>
            <w:rFonts w:cs="Calibri"/>
            <w:sz w:val="18"/>
            <w:szCs w:val="18"/>
          </w:rPr>
          <w:t>http://www.encj.eu/images/stories/pdf/workinggroups/registerqm20072008.pdf</w:t>
        </w:r>
      </w:hyperlink>
      <w:r w:rsidR="001572D8" w:rsidRPr="0031337C">
        <w:rPr>
          <w:rFonts w:cs="Calibri"/>
          <w:color w:val="0000FF"/>
          <w:sz w:val="18"/>
          <w:szCs w:val="18"/>
        </w:rPr>
        <w:t>.</w:t>
      </w:r>
    </w:p>
    <w:p w:rsidR="009B5D21" w:rsidRPr="00B616D9" w:rsidRDefault="00BA5FA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je definisan pojam kvaliteta i razmatra se uloga saveta i srodnih tela. Opisana je najbolja praksa u sledećim kategorijama: misija, vizija i strategija, sistem </w:t>
      </w:r>
      <w:r w:rsidR="00BA7ECB">
        <w:rPr>
          <w:rFonts w:cs="Calibri"/>
          <w:color w:val="000000"/>
        </w:rPr>
        <w:t>totalnog</w:t>
      </w:r>
      <w:r>
        <w:rPr>
          <w:rFonts w:cs="Calibri"/>
          <w:color w:val="000000"/>
        </w:rPr>
        <w:t xml:space="preserve"> kvaliteta, liderstvo i upravljanje, postupak razmatranja pritužbi, </w:t>
      </w:r>
      <w:r w:rsidR="000E78EB">
        <w:rPr>
          <w:rFonts w:cs="Calibri"/>
          <w:color w:val="000000"/>
        </w:rPr>
        <w:t xml:space="preserve">ekspertske procene, vreme potrebno za procesuiranje predmeta i radne procedure, obuka, ocena kvaliteta i kvalitet sudija, evaluacija </w:t>
      </w:r>
      <w:r w:rsidR="00BA7ECB">
        <w:rPr>
          <w:rFonts w:cs="Calibri"/>
          <w:color w:val="000000"/>
        </w:rPr>
        <w:t xml:space="preserve">od strane </w:t>
      </w:r>
      <w:r w:rsidR="000E78EB">
        <w:rPr>
          <w:rFonts w:cs="Calibri"/>
          <w:color w:val="000000"/>
        </w:rPr>
        <w:t>zaposlenih, evaluacija</w:t>
      </w:r>
      <w:r w:rsidR="00BA7ECB">
        <w:rPr>
          <w:rFonts w:cs="Calibri"/>
          <w:color w:val="000000"/>
        </w:rPr>
        <w:t xml:space="preserve"> od strane </w:t>
      </w:r>
      <w:r w:rsidR="000E78EB">
        <w:rPr>
          <w:rFonts w:cs="Calibri"/>
          <w:color w:val="000000"/>
        </w:rPr>
        <w:t xml:space="preserve">klijenata, informacije o upravljanju, sprovođenje revizija i izveštavanje, i </w:t>
      </w:r>
      <w:r w:rsidR="009B5D21">
        <w:rPr>
          <w:rFonts w:cs="Calibri"/>
          <w:color w:val="000000"/>
        </w:rPr>
        <w:t xml:space="preserve">eksterna </w:t>
      </w:r>
      <w:r w:rsidR="000E78EB">
        <w:rPr>
          <w:rFonts w:cs="Calibri"/>
          <w:color w:val="000000"/>
        </w:rPr>
        <w:t xml:space="preserve">komunikacija. </w:t>
      </w:r>
    </w:p>
    <w:p w:rsidR="00B616D9" w:rsidRP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Registru su navedene aktivnosti vezane za kvalitet u zemljama članicama ENCJ, čime je o</w:t>
      </w:r>
      <w:r w:rsidR="009B5D21">
        <w:rPr>
          <w:rFonts w:cs="Calibri"/>
          <w:color w:val="000000"/>
        </w:rPr>
        <w:t>mogućeno</w:t>
      </w:r>
      <w:r>
        <w:rPr>
          <w:rFonts w:cs="Calibri"/>
          <w:color w:val="000000"/>
        </w:rPr>
        <w:t xml:space="preserve"> učenje iz iskustva drugih zemalja. </w:t>
      </w:r>
    </w:p>
    <w:p w:rsidR="00BA5FA3" w:rsidRDefault="00BA5FA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Krivično pravosuđe u EU </w:t>
      </w:r>
      <w:r w:rsidR="00B616D9" w:rsidRPr="00B616D9">
        <w:rPr>
          <w:rFonts w:cs="Calibri,Bold"/>
          <w:b/>
          <w:bCs/>
          <w:color w:val="000000"/>
        </w:rPr>
        <w:t>(2008)</w:t>
      </w:r>
    </w:p>
    <w:p w:rsidR="00B616D9" w:rsidRPr="0031337C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6"/>
          <w:szCs w:val="16"/>
        </w:rPr>
      </w:pPr>
      <w:r>
        <w:rPr>
          <w:rFonts w:cs="Calibri"/>
          <w:color w:val="000000"/>
        </w:rPr>
        <w:t>Izveštaj, pod nazivom „Radna grupa Evropske mreže saveta pravosuđa: Krivično pravosuđe u EU“, je dostupan na</w:t>
      </w:r>
      <w:r w:rsidR="0031337C">
        <w:rPr>
          <w:rFonts w:cs="Calibri"/>
          <w:color w:val="000000"/>
        </w:rPr>
        <w:t xml:space="preserve">: </w:t>
      </w:r>
      <w:r w:rsidR="00B616D9" w:rsidRPr="0031337C">
        <w:rPr>
          <w:rFonts w:cs="Calibri"/>
          <w:color w:val="0000FF"/>
          <w:sz w:val="16"/>
          <w:szCs w:val="16"/>
        </w:rPr>
        <w:t>http://www.encj.eu/images/stories/pdf/workinggroups/encj_report_on_criminal_justice_in_the_eu_2007_2008.pdf</w:t>
      </w:r>
      <w:r w:rsidR="009B5D21" w:rsidRPr="0031337C">
        <w:rPr>
          <w:rFonts w:cs="Calibri"/>
          <w:color w:val="0000FF"/>
          <w:sz w:val="16"/>
          <w:szCs w:val="16"/>
        </w:rPr>
        <w:t>.</w:t>
      </w:r>
    </w:p>
    <w:p w:rsidR="000E78EB" w:rsidRP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se razmatra terorizam u kontekstu </w:t>
      </w:r>
      <w:r w:rsidR="009B5D21">
        <w:rPr>
          <w:rFonts w:cs="Calibri"/>
          <w:color w:val="000000"/>
        </w:rPr>
        <w:t xml:space="preserve">sistema </w:t>
      </w:r>
      <w:r>
        <w:rPr>
          <w:rFonts w:cs="Calibri"/>
          <w:color w:val="000000"/>
        </w:rPr>
        <w:t>krivičnog pravosu</w:t>
      </w:r>
      <w:r w:rsidR="009B5D21">
        <w:rPr>
          <w:rFonts w:cs="Calibri"/>
          <w:color w:val="000000"/>
        </w:rPr>
        <w:t>đa</w:t>
      </w:r>
      <w:r>
        <w:rPr>
          <w:rFonts w:cs="Calibri"/>
          <w:color w:val="000000"/>
        </w:rPr>
        <w:t xml:space="preserve"> i neophodnost sprovođenja nepristrasnih krivičnih istraga.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0E78EB">
        <w:rPr>
          <w:rFonts w:cs="Calibri,Bold"/>
          <w:b/>
          <w:bCs/>
          <w:color w:val="000000"/>
        </w:rPr>
        <w:t xml:space="preserve">Uzajamno poverenje </w:t>
      </w:r>
      <w:r w:rsidR="00B616D9" w:rsidRPr="00B616D9">
        <w:rPr>
          <w:rFonts w:cs="Calibri,Bold"/>
          <w:b/>
          <w:bCs/>
          <w:color w:val="000000"/>
        </w:rPr>
        <w:t>III (2009)</w:t>
      </w:r>
    </w:p>
    <w:p w:rsidR="00B616D9" w:rsidRP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Ovaj zbornik radova pod nazivom „Radna grupa „Jačanje uzajamnog poverenja““ je dostup</w:t>
      </w:r>
      <w:r w:rsidR="009B5D21">
        <w:rPr>
          <w:rFonts w:cs="Calibri"/>
          <w:color w:val="000000"/>
        </w:rPr>
        <w:t>a</w:t>
      </w:r>
      <w:r>
        <w:rPr>
          <w:rFonts w:cs="Calibri"/>
          <w:color w:val="000000"/>
        </w:rPr>
        <w:t>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7" w:history="1">
        <w:r w:rsidR="009B5D21" w:rsidRPr="0031337C">
          <w:rPr>
            <w:rStyle w:val="Hyperlink"/>
            <w:rFonts w:cs="Calibri"/>
            <w:sz w:val="18"/>
            <w:szCs w:val="18"/>
          </w:rPr>
          <w:t>http://www.encj.eu/images/stories/pdf/mutualconfidenceworkinggroup2008-2009en.pdf</w:t>
        </w:r>
      </w:hyperlink>
      <w:r w:rsidR="009B5D21" w:rsidRPr="0031337C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radovima se opisuju istraživanja i preporučuju dodatna istraživanja o moguć</w:t>
      </w:r>
      <w:r w:rsidR="009B5D21">
        <w:rPr>
          <w:rFonts w:cs="Calibri"/>
          <w:color w:val="000000"/>
        </w:rPr>
        <w:t>n</w:t>
      </w:r>
      <w:r>
        <w:rPr>
          <w:rFonts w:cs="Calibri"/>
          <w:color w:val="000000"/>
        </w:rPr>
        <w:t>em modelu sudskog koordinatora u pravu EU</w:t>
      </w:r>
      <w:r w:rsidR="00B616D9" w:rsidRPr="00B616D9">
        <w:rPr>
          <w:rFonts w:cs="Calibri"/>
          <w:color w:val="000000"/>
        </w:rPr>
        <w:t>.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E</w:t>
      </w:r>
      <w:r w:rsidR="000E78EB">
        <w:rPr>
          <w:rFonts w:cs="Calibri,Bold"/>
          <w:b/>
          <w:bCs/>
          <w:color w:val="000000"/>
        </w:rPr>
        <w:t xml:space="preserve">lektronska pravda </w:t>
      </w:r>
      <w:r w:rsidRPr="00B616D9">
        <w:rPr>
          <w:rFonts w:cs="Calibri,Bold"/>
          <w:b/>
          <w:bCs/>
          <w:color w:val="000000"/>
        </w:rPr>
        <w:t>(2009)</w:t>
      </w:r>
    </w:p>
    <w:p w:rsidR="00B616D9" w:rsidRPr="00B616D9" w:rsidRDefault="000E78E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Izveštaj pod nazivom „Izveštaj o elektronskoj pravdi za </w:t>
      </w:r>
      <w:r w:rsidR="00B616D9" w:rsidRPr="00B616D9">
        <w:rPr>
          <w:rFonts w:cs="Calibri"/>
          <w:color w:val="000000"/>
        </w:rPr>
        <w:t>2008</w:t>
      </w:r>
      <w:r>
        <w:rPr>
          <w:rFonts w:cs="Calibri"/>
          <w:color w:val="000000"/>
        </w:rPr>
        <w:t>/</w:t>
      </w:r>
      <w:r w:rsidR="00B616D9" w:rsidRPr="00B616D9">
        <w:rPr>
          <w:rFonts w:cs="Calibri"/>
          <w:color w:val="000000"/>
        </w:rPr>
        <w:t>2009</w:t>
      </w:r>
      <w:r>
        <w:rPr>
          <w:rFonts w:cs="Calibri"/>
          <w:color w:val="000000"/>
        </w:rPr>
        <w:t>. godinu</w:t>
      </w:r>
      <w:r w:rsidR="00B616D9" w:rsidRPr="00B616D9">
        <w:rPr>
          <w:rFonts w:cs="Calibri"/>
          <w:color w:val="000000"/>
        </w:rPr>
        <w:t xml:space="preserve">” </w:t>
      </w:r>
      <w:r>
        <w:rPr>
          <w:rFonts w:cs="Calibri"/>
          <w:color w:val="000000"/>
        </w:rPr>
        <w:t>je dostupan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8" w:history="1">
        <w:r w:rsidR="009B5D21" w:rsidRPr="0031337C">
          <w:rPr>
            <w:rStyle w:val="Hyperlink"/>
            <w:rFonts w:cs="Calibri"/>
            <w:sz w:val="18"/>
            <w:szCs w:val="18"/>
          </w:rPr>
          <w:t>http://www.encj.eu/images/stories/pdf/workinggroups/ejustice20082009.pdf</w:t>
        </w:r>
      </w:hyperlink>
      <w:r w:rsidR="009B5D21" w:rsidRPr="0031337C">
        <w:rPr>
          <w:rFonts w:cs="Calibri"/>
          <w:color w:val="0000FF"/>
          <w:sz w:val="18"/>
          <w:szCs w:val="18"/>
        </w:rPr>
        <w:t>.</w:t>
      </w:r>
    </w:p>
    <w:p w:rsidR="009B5D21" w:rsidRPr="00B616D9" w:rsidRDefault="009B5D21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Autori i</w:t>
      </w:r>
      <w:r w:rsidR="000E78EB">
        <w:rPr>
          <w:rFonts w:cs="Calibri"/>
          <w:color w:val="000000"/>
        </w:rPr>
        <w:t>zveštaj</w:t>
      </w:r>
      <w:r>
        <w:rPr>
          <w:rFonts w:cs="Calibri"/>
          <w:color w:val="000000"/>
        </w:rPr>
        <w:t xml:space="preserve">a su se usredsredili na usmeravanje potreba evropskih sudija ka inicijativama elektronske pravde u EU te su u tom cilju razmatrali razne evropske aktivnosti i instrumente, koji su navedeni u izveštaju.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A536F0" w:rsidRDefault="00A536F0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A536F0" w:rsidRDefault="00A536F0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8D6BAB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lastRenderedPageBreak/>
        <w:t xml:space="preserve">Transparentnost i pristup pravid </w:t>
      </w:r>
      <w:r w:rsidR="00B616D9" w:rsidRPr="00B616D9">
        <w:rPr>
          <w:rFonts w:cs="Calibri,Bold"/>
          <w:b/>
          <w:bCs/>
          <w:color w:val="000000"/>
        </w:rPr>
        <w:t>I (2009)</w:t>
      </w:r>
    </w:p>
    <w:p w:rsidR="00B616D9" w:rsidRPr="00B616D9" w:rsidRDefault="008D6BA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„Izveštaj o upravljanju kvalitetom za 2008/2009. godinu; Upravljanje kvalitetom i veza između upravljanja kvalitetom i transparentnosti i pristupa pravd</w:t>
      </w:r>
      <w:r w:rsidR="00590A1B">
        <w:rPr>
          <w:rFonts w:cs="Calibri"/>
          <w:color w:val="000000"/>
        </w:rPr>
        <w:t>i</w:t>
      </w:r>
      <w:r>
        <w:rPr>
          <w:rFonts w:cs="Calibri"/>
          <w:color w:val="000000"/>
        </w:rPr>
        <w:t>“</w:t>
      </w:r>
      <w:r w:rsidR="009B5D21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je dostupan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19" w:history="1">
        <w:r w:rsidR="009B5D21" w:rsidRPr="0031337C">
          <w:rPr>
            <w:rStyle w:val="Hyperlink"/>
            <w:rFonts w:cs="Calibri"/>
            <w:sz w:val="18"/>
            <w:szCs w:val="18"/>
          </w:rPr>
          <w:t>http://www.encj.eu/images/stories/pdf/workinggroups/qmreport20082009.pdf</w:t>
        </w:r>
      </w:hyperlink>
      <w:r w:rsidR="009B5D21" w:rsidRPr="0031337C">
        <w:rPr>
          <w:rFonts w:cs="Calibri"/>
          <w:color w:val="0000FF"/>
          <w:sz w:val="18"/>
          <w:szCs w:val="18"/>
        </w:rPr>
        <w:t>.</w:t>
      </w:r>
    </w:p>
    <w:p w:rsidR="008D6BAB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Taj izveštaj se bavio pristupom pravde u užem smislu, pristupom informacijama u sudskim organizacijama i postupcima. Upravljanje kvalitet</w:t>
      </w:r>
      <w:r w:rsidR="009B5D21">
        <w:rPr>
          <w:rFonts w:cs="Calibri"/>
          <w:color w:val="000000"/>
        </w:rPr>
        <w:t>om</w:t>
      </w:r>
      <w:r>
        <w:rPr>
          <w:rFonts w:cs="Calibri"/>
          <w:color w:val="000000"/>
        </w:rPr>
        <w:t xml:space="preserve"> i transparentnost su posmatrani kao instrumenti za unapređenje pristupa pravdi. Autori izveštaja su se usredsredili na aspekte transparentnosti aktivnosti vezanih za upravljanje kvalitetom koje odgovaraju onim aktivnostima opisanim u Izveštaju o upravljanju kvalitetom iz 2008. </w:t>
      </w:r>
    </w:p>
    <w:p w:rsidR="00B616D9" w:rsidRDefault="008D6BAB" w:rsidP="00BD5054">
      <w:pPr>
        <w:autoSpaceDE w:val="0"/>
        <w:autoSpaceDN w:val="0"/>
        <w:adjustRightInd w:val="0"/>
        <w:spacing w:after="120" w:line="240" w:lineRule="auto"/>
        <w:rPr>
          <w:rFonts w:cs="Calibri"/>
          <w:color w:val="0000FF"/>
        </w:rPr>
      </w:pPr>
      <w:r>
        <w:rPr>
          <w:rFonts w:cs="Calibri"/>
          <w:color w:val="000000"/>
        </w:rPr>
        <w:t>Registar je dostupan na</w:t>
      </w:r>
      <w:r w:rsidR="00B616D9" w:rsidRPr="00B616D9">
        <w:rPr>
          <w:rFonts w:cs="Calibri"/>
          <w:color w:val="000000"/>
        </w:rPr>
        <w:t>:</w:t>
      </w:r>
      <w:r w:rsidR="0031337C">
        <w:rPr>
          <w:rFonts w:cs="Calibri"/>
          <w:color w:val="000000"/>
        </w:rPr>
        <w:t xml:space="preserve"> </w:t>
      </w:r>
      <w:hyperlink r:id="rId20" w:history="1">
        <w:r w:rsidR="009B5D21" w:rsidRPr="0031337C">
          <w:rPr>
            <w:rStyle w:val="Hyperlink"/>
            <w:rFonts w:cs="Calibri"/>
            <w:sz w:val="18"/>
            <w:szCs w:val="18"/>
          </w:rPr>
          <w:t>http://www.encj.eu/images/stories/pdf/workinggroups/qmregister20082009.pdf</w:t>
        </w:r>
      </w:hyperlink>
      <w:r w:rsidR="009B5D21" w:rsidRPr="0031337C">
        <w:rPr>
          <w:rFonts w:cs="Calibri"/>
          <w:color w:val="0000FF"/>
          <w:sz w:val="18"/>
          <w:szCs w:val="18"/>
        </w:rPr>
        <w:t>.</w:t>
      </w:r>
    </w:p>
    <w:p w:rsidR="008D6BAB" w:rsidRPr="00B616D9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registru su navedene aktivnosti vezane za upravljanje kvalitetom u državama članicama ENCJ, uključujući i informacije o transparentnosti. Ovaj registar predstavlja ažuriranu verziju registra o upravljanju kvalitetom iz 2008.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Bukureštanska rezolucija o transparentnosti i pristupu pravdi </w:t>
      </w:r>
      <w:r w:rsidR="00B616D9" w:rsidRPr="00B616D9">
        <w:rPr>
          <w:rFonts w:cs="Calibri,Bold"/>
          <w:b/>
          <w:bCs/>
          <w:color w:val="000000"/>
        </w:rPr>
        <w:t>(2009)</w:t>
      </w:r>
    </w:p>
    <w:p w:rsidR="00B616D9" w:rsidRPr="0031337C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6"/>
          <w:szCs w:val="16"/>
        </w:rPr>
      </w:pPr>
      <w:r>
        <w:rPr>
          <w:rFonts w:cs="Calibri"/>
          <w:color w:val="000000"/>
        </w:rPr>
        <w:t>Ova rezolucija je dostupna na</w:t>
      </w:r>
      <w:r w:rsidR="0031337C">
        <w:rPr>
          <w:rFonts w:cs="Calibri"/>
          <w:color w:val="000000"/>
        </w:rPr>
        <w:t xml:space="preserve">: </w:t>
      </w:r>
      <w:hyperlink r:id="rId21" w:history="1">
        <w:r w:rsidRPr="0031337C">
          <w:rPr>
            <w:rStyle w:val="Hyperlink"/>
            <w:rFonts w:cs="Calibri"/>
            <w:sz w:val="16"/>
            <w:szCs w:val="16"/>
          </w:rPr>
          <w:t>http://www.encj.eu/images/stories/pdf/opinions/resolutionbucharest29may_final.pdf</w:t>
        </w:r>
      </w:hyperlink>
      <w:r w:rsidR="009B5D21" w:rsidRPr="0031337C">
        <w:rPr>
          <w:rFonts w:cs="Calibri"/>
          <w:color w:val="0000FF"/>
          <w:sz w:val="16"/>
          <w:szCs w:val="16"/>
        </w:rPr>
        <w:t>.</w:t>
      </w:r>
    </w:p>
    <w:p w:rsidR="008D6BAB" w:rsidRPr="00B616D9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rezoluciji je navedeno da saveti pravosuđa ili slična nezavisna tela moraju da učine sve u svojoj moći kako bi obezbedili očuvanje otvorenog i transparentnog sistema pravde a radi očuvanja vladavine prava.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8D6BAB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Uzajamno poverenje </w:t>
      </w:r>
      <w:r w:rsidR="00B616D9" w:rsidRPr="00B616D9">
        <w:rPr>
          <w:rFonts w:cs="Calibri,Bold"/>
          <w:b/>
          <w:bCs/>
          <w:color w:val="000000"/>
        </w:rPr>
        <w:t>IV (2010)</w:t>
      </w:r>
    </w:p>
    <w:p w:rsidR="00B616D9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„Uzajamno poverenje</w:t>
      </w:r>
      <w:r w:rsidR="009B5D21">
        <w:rPr>
          <w:rFonts w:cs="Calibri"/>
          <w:color w:val="000000"/>
        </w:rPr>
        <w:t>:i</w:t>
      </w:r>
      <w:r>
        <w:rPr>
          <w:rFonts w:cs="Calibri"/>
          <w:color w:val="000000"/>
        </w:rPr>
        <w:t>zveštaj i preporuke iz 2009/2010. godine“, je dostupan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2" w:history="1">
        <w:r w:rsidR="006E7871" w:rsidRPr="0031337C">
          <w:rPr>
            <w:rStyle w:val="Hyperlink"/>
            <w:rFonts w:cs="Calibri"/>
            <w:sz w:val="18"/>
            <w:szCs w:val="18"/>
          </w:rPr>
          <w:t>http://www.encj.eu/images/stories/pdf/mutualconfidence/mc2009-2010en.pdf</w:t>
        </w:r>
      </w:hyperlink>
      <w:r w:rsidR="006E7871" w:rsidRPr="0031337C">
        <w:rPr>
          <w:rFonts w:cs="Calibri"/>
          <w:color w:val="0000FF"/>
          <w:sz w:val="18"/>
          <w:szCs w:val="18"/>
        </w:rPr>
        <w:t>.</w:t>
      </w:r>
    </w:p>
    <w:p w:rsidR="008B4B0D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su date podrobne preporuke za evaluaciju i obuku u vezi sa jačanjem uzajamnog poverenja i razvojem evropske pravosudne kulture. On takođe sadrži preporuke o sudskim koordinatorima, mrežama stručnjaka za pravo EU i predloge budućih aktivnosti ENCJ u cilju jačanja uzajamnog poverenja.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Javno poverenje </w:t>
      </w:r>
      <w:r w:rsidR="00B616D9" w:rsidRPr="00B616D9">
        <w:rPr>
          <w:rFonts w:cs="Calibri,Bold"/>
          <w:b/>
          <w:bCs/>
          <w:color w:val="000000"/>
        </w:rPr>
        <w:t>(2010)</w:t>
      </w:r>
    </w:p>
    <w:p w:rsidR="00B616D9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„Javno poverenje: izveštaj i preporuke iz 2010. godine“, je dostupan na</w:t>
      </w:r>
      <w:r w:rsidR="0031337C">
        <w:rPr>
          <w:rFonts w:cs="Calibri"/>
          <w:color w:val="000000"/>
        </w:rPr>
        <w:t>:</w:t>
      </w:r>
    </w:p>
    <w:p w:rsidR="00B616D9" w:rsidRPr="0031337C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3" w:history="1">
        <w:r w:rsidR="006E7871" w:rsidRPr="0031337C">
          <w:rPr>
            <w:rStyle w:val="Hyperlink"/>
            <w:rFonts w:cs="Calibri"/>
            <w:sz w:val="18"/>
            <w:szCs w:val="18"/>
          </w:rPr>
          <w:t>http://www.encj.eu/images/stories/pdf/workinggroups/publicconfidence20092010.pdf</w:t>
        </w:r>
      </w:hyperlink>
      <w:r w:rsidR="006E7871" w:rsidRPr="0031337C">
        <w:rPr>
          <w:rFonts w:cs="Calibri"/>
          <w:color w:val="0000FF"/>
          <w:sz w:val="18"/>
          <w:szCs w:val="18"/>
        </w:rPr>
        <w:t>.</w:t>
      </w:r>
    </w:p>
    <w:p w:rsidR="008B4B0D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su razmotreni različiti metodi, uključujući i istraživanja javnog mnenja, za praćenje i ocenjivanje javnog poverenja u razne pravosudne sisteme koji funkcionišu širom EU. </w:t>
      </w:r>
    </w:p>
    <w:p w:rsidR="001572D8" w:rsidRDefault="001572D8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Pristup pravdi </w:t>
      </w:r>
      <w:r w:rsidR="00B616D9" w:rsidRPr="00B616D9">
        <w:rPr>
          <w:rFonts w:cs="Calibri,Bold"/>
          <w:b/>
          <w:bCs/>
          <w:color w:val="000000"/>
        </w:rPr>
        <w:t>II (2010)</w:t>
      </w:r>
    </w:p>
    <w:p w:rsidR="00B616D9" w:rsidRPr="00B616D9" w:rsidRDefault="008B4B0D" w:rsidP="00BD505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„Kvalitet i pristup pravdi: izveštaj za 2009/2010. godinu“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4" w:history="1">
        <w:r w:rsidR="006E7871" w:rsidRPr="00F97816">
          <w:rPr>
            <w:rStyle w:val="Hyperlink"/>
            <w:rFonts w:cs="Calibri"/>
            <w:sz w:val="18"/>
            <w:szCs w:val="18"/>
          </w:rPr>
          <w:t>http://www.encj.eu/images/stories/pdf/workinggroups/finalreportqm20092010.pdf</w:t>
        </w:r>
      </w:hyperlink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izveštaju se opisuju konkretne prepreke pristupu pravdi i inicijative preduzete kako bi se one otklonile. Opisan</w:t>
      </w:r>
      <w:r w:rsidR="006E7871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su metodologija i analiza koja mora </w:t>
      </w:r>
      <w:r w:rsidR="006E7871">
        <w:rPr>
          <w:rFonts w:cs="Calibri"/>
          <w:color w:val="000000"/>
        </w:rPr>
        <w:t xml:space="preserve">predstavljati </w:t>
      </w:r>
      <w:r>
        <w:rPr>
          <w:rFonts w:cs="Calibri"/>
          <w:color w:val="000000"/>
        </w:rPr>
        <w:t>osnov svih inicijativ</w:t>
      </w:r>
      <w:r w:rsidR="006E7871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kao i </w:t>
      </w:r>
      <w:r w:rsidR="006E7871">
        <w:rPr>
          <w:rFonts w:cs="Calibri"/>
          <w:color w:val="000000"/>
        </w:rPr>
        <w:t xml:space="preserve">uporedni prikaz </w:t>
      </w:r>
      <w:r>
        <w:rPr>
          <w:rFonts w:cs="Calibri"/>
          <w:color w:val="000000"/>
        </w:rPr>
        <w:t xml:space="preserve">koji se usredsređuje na finansijske, geografske, psihološke i društvene prepreke. Na kraju se opisuju dva nacionalna programa koja sadrže nove stavove i gledišta. </w:t>
      </w:r>
    </w:p>
    <w:p w:rsidR="00B616D9" w:rsidRPr="00B616D9" w:rsidRDefault="008B4B0D" w:rsidP="00BD505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Registar</w:t>
      </w:r>
      <w:r w:rsidR="00B616D9" w:rsidRPr="00B616D9">
        <w:rPr>
          <w:rFonts w:cs="Calibri"/>
          <w:color w:val="000000"/>
        </w:rPr>
        <w:t xml:space="preserve"> (ver</w:t>
      </w:r>
      <w:r>
        <w:rPr>
          <w:rFonts w:cs="Calibri"/>
          <w:color w:val="000000"/>
        </w:rPr>
        <w:t>zija od 1. maja</w:t>
      </w:r>
      <w:r w:rsidR="00B616D9" w:rsidRPr="00B616D9">
        <w:rPr>
          <w:rFonts w:cs="Calibri"/>
          <w:color w:val="000000"/>
        </w:rPr>
        <w:t xml:space="preserve"> 2011) </w:t>
      </w:r>
      <w:r>
        <w:rPr>
          <w:rFonts w:cs="Calibri"/>
          <w:color w:val="000000"/>
        </w:rPr>
        <w:t>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>http://www.encj.eu/images/stories/pdf/GA/Vilnius/updated_register_access_to_justice.pdf</w:t>
      </w:r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8B4B0D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njemu je opisana trenutna situacija u državama članicama ENCJ u pogledu prepreka pristupu pravde </w:t>
      </w:r>
      <w:r w:rsidR="006E7871">
        <w:rPr>
          <w:rFonts w:cs="Calibri"/>
          <w:color w:val="000000"/>
        </w:rPr>
        <w:t xml:space="preserve">koje su razvrstane u sledećih </w:t>
      </w:r>
      <w:r>
        <w:rPr>
          <w:rFonts w:cs="Calibri"/>
          <w:color w:val="000000"/>
        </w:rPr>
        <w:t xml:space="preserve">9 kategorija: </w:t>
      </w:r>
      <w:r w:rsidR="000A2F99">
        <w:rPr>
          <w:rFonts w:cs="Calibri"/>
          <w:color w:val="000000"/>
        </w:rPr>
        <w:t>f</w:t>
      </w:r>
      <w:r>
        <w:rPr>
          <w:rFonts w:cs="Calibri"/>
          <w:color w:val="000000"/>
        </w:rPr>
        <w:t xml:space="preserve">inansijske prepreke, </w:t>
      </w:r>
      <w:r w:rsidR="000A2F99">
        <w:rPr>
          <w:rFonts w:cs="Calibri"/>
          <w:color w:val="000000"/>
        </w:rPr>
        <w:t>g</w:t>
      </w:r>
      <w:r>
        <w:rPr>
          <w:rFonts w:cs="Calibri"/>
          <w:color w:val="000000"/>
        </w:rPr>
        <w:t xml:space="preserve">eografske prepreke, </w:t>
      </w:r>
      <w:r w:rsidR="000A2F99">
        <w:rPr>
          <w:rFonts w:cs="Calibri"/>
          <w:color w:val="000000"/>
        </w:rPr>
        <w:t>f</w:t>
      </w:r>
      <w:r>
        <w:rPr>
          <w:rFonts w:cs="Calibri"/>
          <w:color w:val="000000"/>
        </w:rPr>
        <w:t xml:space="preserve">izičke prepreke, </w:t>
      </w:r>
      <w:r w:rsidR="000A2F99">
        <w:rPr>
          <w:rFonts w:cs="Calibri"/>
          <w:color w:val="000000"/>
        </w:rPr>
        <w:t>tehnološke prepreke, p</w:t>
      </w:r>
      <w:r>
        <w:rPr>
          <w:rFonts w:cs="Calibri"/>
          <w:color w:val="000000"/>
        </w:rPr>
        <w:t xml:space="preserve">sihološke prepreke, </w:t>
      </w:r>
      <w:r w:rsidR="000A2F99">
        <w:rPr>
          <w:rFonts w:cs="Calibri"/>
          <w:color w:val="000000"/>
        </w:rPr>
        <w:t>prepreke ličnom pojavljivanju na sudu</w:t>
      </w:r>
      <w:r>
        <w:rPr>
          <w:rFonts w:cs="Calibri"/>
          <w:color w:val="000000"/>
        </w:rPr>
        <w:t xml:space="preserve">, </w:t>
      </w:r>
      <w:r w:rsidR="000A2F99">
        <w:rPr>
          <w:rFonts w:cs="Calibri"/>
          <w:color w:val="000000"/>
        </w:rPr>
        <w:t>d</w:t>
      </w:r>
      <w:r>
        <w:rPr>
          <w:rFonts w:cs="Calibri"/>
          <w:color w:val="000000"/>
        </w:rPr>
        <w:t xml:space="preserve">ruštvene </w:t>
      </w:r>
      <w:r w:rsidR="000A2F99">
        <w:rPr>
          <w:rFonts w:cs="Calibri"/>
          <w:color w:val="000000"/>
        </w:rPr>
        <w:t>prepreke, vremenske prepreke, p</w:t>
      </w:r>
      <w:r>
        <w:rPr>
          <w:rFonts w:cs="Calibri"/>
          <w:color w:val="000000"/>
        </w:rPr>
        <w:t>repreke vezane za izvršenje i postupanje prema žrtvama zlo</w:t>
      </w:r>
      <w:r w:rsidR="000A2F99">
        <w:rPr>
          <w:rFonts w:cs="Calibri"/>
          <w:color w:val="000000"/>
        </w:rPr>
        <w:t>č</w:t>
      </w:r>
      <w:r>
        <w:rPr>
          <w:rFonts w:cs="Calibri"/>
          <w:color w:val="000000"/>
        </w:rPr>
        <w:t>ina</w:t>
      </w:r>
      <w:r w:rsidR="00B616D9" w:rsidRPr="00B616D9">
        <w:rPr>
          <w:rFonts w:cs="Calibri"/>
          <w:color w:val="000000"/>
        </w:rPr>
        <w:t>.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E63A55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>Sudska etika</w:t>
      </w:r>
      <w:r w:rsidR="00B616D9" w:rsidRPr="00B616D9">
        <w:rPr>
          <w:rFonts w:cs="Calibri,Bold"/>
          <w:b/>
          <w:bCs/>
          <w:color w:val="000000"/>
        </w:rPr>
        <w:t xml:space="preserve"> (2010) – London</w:t>
      </w:r>
      <w:r>
        <w:rPr>
          <w:rFonts w:cs="Calibri,Bold"/>
          <w:b/>
          <w:bCs/>
          <w:color w:val="000000"/>
        </w:rPr>
        <w:t>ska deklaracija</w:t>
      </w:r>
      <w:r w:rsidR="00B616D9" w:rsidRPr="00B616D9">
        <w:rPr>
          <w:rFonts w:cs="Calibri,Bold"/>
          <w:b/>
          <w:bCs/>
          <w:color w:val="000000"/>
        </w:rPr>
        <w:t xml:space="preserve"> (2010)</w:t>
      </w:r>
    </w:p>
    <w:p w:rsidR="00B616D9" w:rsidRPr="00B616D9" w:rsidRDefault="00E63A55" w:rsidP="00BD505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„Sudska etika: izveštaj za 2009/2010. godinu“, je dostupan na</w:t>
      </w:r>
      <w:r w:rsidR="00F97816">
        <w:rPr>
          <w:rFonts w:cs="Calibri"/>
          <w:color w:val="000000"/>
        </w:rPr>
        <w:t>:</w:t>
      </w:r>
    </w:p>
    <w:p w:rsidR="00B616D9" w:rsidRP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</w:rPr>
      </w:pPr>
      <w:r w:rsidRPr="00F97816">
        <w:rPr>
          <w:rFonts w:cs="Calibri"/>
          <w:color w:val="0000FF"/>
          <w:sz w:val="18"/>
          <w:szCs w:val="18"/>
        </w:rPr>
        <w:t>http://www.encj.eu/images/stories/pdf/ethics/</w:t>
      </w:r>
      <w:r w:rsidRPr="00A536F0">
        <w:rPr>
          <w:rFonts w:cs="Calibri"/>
          <w:color w:val="0000FF"/>
          <w:sz w:val="18"/>
          <w:szCs w:val="18"/>
        </w:rPr>
        <w:t>judicialethicsdeontologiefinal.pdf</w:t>
      </w:r>
      <w:r w:rsidR="006E7871" w:rsidRPr="00A536F0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E63A55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Kaže se da su očekivanja društva od sudija podstakla ENCJ da razmatra pitanje sudske etike. Ona se bavi postizanjem ravnoteže između nezavisnosti pravosuđa, transparentnosti institucija, slobode štampe i prava javnosti na informisanje. Takođe je bitno očuvati sudsku nezavisnost, </w:t>
      </w:r>
      <w:r w:rsidR="004727D6">
        <w:rPr>
          <w:rFonts w:cs="Calibri"/>
          <w:color w:val="000000"/>
        </w:rPr>
        <w:t>slobodnu od svih pritisaka ili manipulacija kako bi sudije mogle da očuvaju nepristrasnost i efikasnost koj</w:t>
      </w:r>
      <w:r w:rsidR="006E7871">
        <w:rPr>
          <w:rFonts w:cs="Calibri"/>
          <w:color w:val="000000"/>
        </w:rPr>
        <w:t>e</w:t>
      </w:r>
      <w:r w:rsidR="004727D6">
        <w:rPr>
          <w:rFonts w:cs="Calibri"/>
          <w:color w:val="000000"/>
        </w:rPr>
        <w:t xml:space="preserve"> javnost od njih očekuje. Sudska etika je posmatrana iz pozitivnog ugla tako da dužnosti sudije obuhvataju zajedničke temeljne vrednosti rada sudije i lične kvalitete sudije u odgovor na očekivanja javnosti. Nezavisnost, integritet, nepristrasnost, rezervisanost i diskrecija, marljivost, poštovanje, sposobnost slušanja, ravnopravno postupanje, kompetentnost i transparentnost predstavljaju zajedničke vrednosti koje su utvrđene kao neophodne za ulogu sudije (Prvi deo). Sudija takođe mora da iskazuje lične kvalitete mudrosti, lojalnosti, humanosti, hrabrosti, ozbiljnosti i razboritosti, sposobnost da puno radi kao i sposobnost </w:t>
      </w:r>
      <w:r w:rsidR="006E7871">
        <w:rPr>
          <w:rFonts w:cs="Calibri"/>
          <w:color w:val="000000"/>
        </w:rPr>
        <w:t>slušanja i delotvorne komunikacije</w:t>
      </w:r>
      <w:r w:rsidR="004727D6">
        <w:rPr>
          <w:rFonts w:cs="Calibri"/>
          <w:color w:val="000000"/>
        </w:rPr>
        <w:t xml:space="preserve">. Sudija treba da bude svestan toga da njegovo profesionalno ponašanje, privatan život i ponašanje u društvu utiču na predstave o pravdi i javno poverenje (Drugi deo). </w:t>
      </w:r>
    </w:p>
    <w:p w:rsidR="00B616D9" w:rsidRPr="00B616D9" w:rsidRDefault="005A31A6" w:rsidP="00BD505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Londonska deklaracija, </w:t>
      </w:r>
      <w:r w:rsidR="006E7871">
        <w:rPr>
          <w:rFonts w:cs="Calibri"/>
          <w:color w:val="000000"/>
        </w:rPr>
        <w:t>koja</w:t>
      </w:r>
      <w:r>
        <w:rPr>
          <w:rFonts w:cs="Calibri"/>
          <w:color w:val="000000"/>
        </w:rPr>
        <w:t xml:space="preserve"> članov</w:t>
      </w:r>
      <w:r w:rsidR="006E7871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i posmatrač</w:t>
      </w:r>
      <w:r w:rsidR="006E7871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ENCJ </w:t>
      </w:r>
      <w:r w:rsidR="006E7871">
        <w:rPr>
          <w:rFonts w:cs="Calibri"/>
          <w:color w:val="000000"/>
        </w:rPr>
        <w:t xml:space="preserve">poziva da </w:t>
      </w:r>
      <w:r>
        <w:rPr>
          <w:rFonts w:cs="Calibri"/>
          <w:color w:val="000000"/>
        </w:rPr>
        <w:t>aktivno promovišu sadržaj pomenutog izveštaja o sudskoj etici na nacionalnom i evropskom nivou, je dostupna na</w:t>
      </w:r>
      <w:r w:rsidR="00BD5054">
        <w:rPr>
          <w:rFonts w:cs="Calibri"/>
          <w:color w:val="000000"/>
        </w:rPr>
        <w:t>:</w:t>
      </w:r>
    </w:p>
    <w:p w:rsidR="00B616D9" w:rsidRPr="00F97816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FF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>http://www.encj.eu/images/stories/pdf/ethics/encj_london_declaration_recj_declaration_de_londres.pdf</w:t>
      </w:r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5A31A6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Blagovremenost </w:t>
      </w:r>
      <w:r w:rsidR="00B616D9" w:rsidRPr="00B616D9">
        <w:rPr>
          <w:rFonts w:cs="Calibri,Bold"/>
          <w:b/>
          <w:bCs/>
          <w:color w:val="000000"/>
        </w:rPr>
        <w:t>(2011)</w:t>
      </w:r>
    </w:p>
    <w:p w:rsidR="00B616D9" w:rsidRPr="00B616D9" w:rsidRDefault="005A31A6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„Izveštaj o blagovremenosti za 2010/2011. godinu“ ,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>http://www.encj.eu/images/stories/pdf/GA/Vilnius/report_on_timeliness.pdf</w:t>
      </w:r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B616D9" w:rsidRDefault="005A31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Taj izveštaj sadrži analizu raznih rešenja problem</w:t>
      </w:r>
      <w:r w:rsidR="006E7871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dugog procesuiranja predmeta i spisak preporučenih koraka. On počinje izlaganjem nekih opštih stavova o aspektima kvaliteta i nezavisnosti pravosuđa. U njemu se zatim opisuju uzroci kašnjenja i akter</w:t>
      </w:r>
      <w:r w:rsidR="006E7871">
        <w:rPr>
          <w:rFonts w:cs="Calibri"/>
          <w:color w:val="000000"/>
        </w:rPr>
        <w:t>i</w:t>
      </w:r>
      <w:r>
        <w:rPr>
          <w:rFonts w:cs="Calibri"/>
          <w:color w:val="000000"/>
        </w:rPr>
        <w:t xml:space="preserve"> u ovom problemu. Ističe se značaj saradnje između aktera. U poglavlju o upravljanju kvalitetom su razmotreni merenje, analiza i odgovori. Veći deo izveštaja se bavi raznim korektivnim merama za kašnjenja, pri čemu se usredsređuje na zahteve vezane za rokove, smanjenje broja predmeta, povećanje kapaciteta, olakšavanj</w:t>
      </w:r>
      <w:r w:rsidR="006E7871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i ubrzavanje sudskih postupaka i unapređenje procesuiranja, uključujući i upravljanje predmetima. </w:t>
      </w:r>
    </w:p>
    <w:p w:rsidR="00B616D9" w:rsidRPr="00B616D9" w:rsidRDefault="005A31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Upitnik o blagovremenosti, u kojem su ispitanici zamoljeni da predoče statistiku o vremenu potrebnom za procesuiranje predmeta i druge informacije, i odgovori na upitnik su dostupni na</w:t>
      </w:r>
      <w:r w:rsidR="00F97816">
        <w:rPr>
          <w:rFonts w:cs="Calibri"/>
          <w:color w:val="000000"/>
        </w:rPr>
        <w:t>:</w:t>
      </w:r>
    </w:p>
    <w:p w:rsidR="00B616D9" w:rsidRPr="00F97816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 xml:space="preserve">http://www.encj.eu/images/stories/pdf/workinggroups/Timeliness/questionniare.pdf </w:t>
      </w:r>
      <w:r w:rsidRPr="00F97816">
        <w:rPr>
          <w:rFonts w:cs="Calibri"/>
          <w:color w:val="000000"/>
          <w:sz w:val="18"/>
          <w:szCs w:val="18"/>
        </w:rPr>
        <w:t>,</w:t>
      </w:r>
    </w:p>
    <w:p w:rsidR="00B616D9" w:rsidRPr="00F97816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FF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 xml:space="preserve">http://www.encj.eu/images/stories/pdf/workinggroups/Timeliness/guide_to_questionnaire.pdf </w:t>
      </w:r>
      <w:r w:rsidR="005A31A6" w:rsidRPr="00F97816">
        <w:rPr>
          <w:rFonts w:cs="Calibri"/>
          <w:sz w:val="18"/>
          <w:szCs w:val="18"/>
        </w:rPr>
        <w:t>i</w:t>
      </w:r>
    </w:p>
    <w:p w:rsidR="00B616D9" w:rsidRPr="00F97816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8"/>
          <w:szCs w:val="18"/>
        </w:rPr>
      </w:pPr>
      <w:r w:rsidRPr="00F97816">
        <w:rPr>
          <w:rFonts w:cs="Calibri"/>
          <w:color w:val="0000FF"/>
          <w:sz w:val="18"/>
          <w:szCs w:val="18"/>
        </w:rPr>
        <w:t>http://www.encj.eu/index.php?option=com_content&amp;view=article&amp;id=97%3Aquality-management-2010-2011&amp;catid=13%3Aqualitymanagement&amp;Itemid=231&amp;lang=en</w:t>
      </w:r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6538E3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Merenje javnog poverenja na nacionalnom i transnacionalnom nivou </w:t>
      </w:r>
      <w:r w:rsidR="00B616D9" w:rsidRPr="00B616D9">
        <w:rPr>
          <w:rFonts w:cs="Calibri,Bold"/>
          <w:b/>
          <w:bCs/>
          <w:color w:val="000000"/>
        </w:rPr>
        <w:t>(2011)</w:t>
      </w:r>
    </w:p>
    <w:p w:rsidR="00B616D9" w:rsidRPr="00B616D9" w:rsidRDefault="006538E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„Merenje javnog poverenja na nacionalnom i transnacionalnom nivou: Izveštaj za 2010/2011. godinu“, je dostupan na</w:t>
      </w:r>
      <w:r w:rsidR="00F97816">
        <w:rPr>
          <w:rFonts w:cs="Calibri"/>
          <w:color w:val="000000"/>
        </w:rPr>
        <w:t xml:space="preserve">: </w:t>
      </w:r>
    </w:p>
    <w:p w:rsidR="006E7871" w:rsidRPr="00F97816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5" w:history="1">
        <w:r w:rsidR="006E7871" w:rsidRPr="00F97816">
          <w:rPr>
            <w:rStyle w:val="Hyperlink"/>
            <w:rFonts w:cs="Calibri"/>
            <w:sz w:val="18"/>
            <w:szCs w:val="18"/>
          </w:rPr>
          <w:t>http://www.encj.eu/images/stories/pdf/workinggroups/final_report_public_confidence_2010_2011.pdf</w:t>
        </w:r>
      </w:hyperlink>
    </w:p>
    <w:p w:rsidR="006538E3" w:rsidRP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 izveštaju je naveden niz praktičnih predloga </w:t>
      </w:r>
      <w:r w:rsidR="006E7871">
        <w:rPr>
          <w:rFonts w:cs="Calibri"/>
          <w:color w:val="000000"/>
        </w:rPr>
        <w:t xml:space="preserve">o načinima </w:t>
      </w:r>
      <w:r>
        <w:rPr>
          <w:rFonts w:cs="Calibri"/>
          <w:color w:val="000000"/>
        </w:rPr>
        <w:t>istraž</w:t>
      </w:r>
      <w:r w:rsidR="006E7871">
        <w:rPr>
          <w:rFonts w:cs="Calibri"/>
          <w:color w:val="000000"/>
        </w:rPr>
        <w:t xml:space="preserve">ivanja i ocenjivanja javnog </w:t>
      </w:r>
      <w:r>
        <w:rPr>
          <w:rFonts w:cs="Calibri"/>
          <w:color w:val="000000"/>
        </w:rPr>
        <w:t>poverenj</w:t>
      </w:r>
      <w:r w:rsidR="006E7871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u pravosudne sisteme, uključujući i opšti upitnik, saradnj</w:t>
      </w:r>
      <w:r w:rsidR="006E7871">
        <w:rPr>
          <w:rFonts w:cs="Calibri"/>
          <w:color w:val="000000"/>
        </w:rPr>
        <w:t>u</w:t>
      </w:r>
      <w:r>
        <w:rPr>
          <w:rFonts w:cs="Calibri"/>
          <w:color w:val="000000"/>
        </w:rPr>
        <w:t xml:space="preserve"> sa Euro Justisom, i mogućnost i izvodljivost ocenjivanja poverenja preduzeća u sudove na nacionalnom i transnacionalnom nivou širom Evropske unije.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Saveti pravosuđa </w:t>
      </w:r>
      <w:r w:rsidR="00B616D9" w:rsidRPr="00B616D9">
        <w:rPr>
          <w:rFonts w:cs="Calibri,Bold"/>
          <w:b/>
          <w:bCs/>
          <w:color w:val="000000"/>
        </w:rPr>
        <w:t>(2011)</w:t>
      </w:r>
    </w:p>
    <w:p w:rsidR="006538E3" w:rsidRPr="00B616D9" w:rsidRDefault="006538E3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„Saveti pravosuđa: izveštaj za 2010/2011. godinu“,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6" w:history="1">
        <w:r w:rsidR="006E7871" w:rsidRPr="00F97816">
          <w:rPr>
            <w:rStyle w:val="Hyperlink"/>
            <w:rFonts w:cs="Calibri"/>
            <w:sz w:val="18"/>
            <w:szCs w:val="18"/>
          </w:rPr>
          <w:t>http://www.encj.eu/images/stories/pdf/workinggroups/report_project_team_councils_for_the_judiciary_2010_2011.pdf</w:t>
        </w:r>
      </w:hyperlink>
      <w:r w:rsidR="006E7871" w:rsidRPr="00F97816">
        <w:rPr>
          <w:rFonts w:cs="Calibri"/>
          <w:color w:val="0000FF"/>
          <w:sz w:val="18"/>
          <w:szCs w:val="18"/>
        </w:rPr>
        <w:t>.</w:t>
      </w:r>
    </w:p>
    <w:p w:rsidR="006538E3" w:rsidRP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 xml:space="preserve">U njemu je dat niz preporuka vezanih za sastav, predsedavanje i ovlašćenja saveta pravosuđa. U njemu se takođe razmatra učešće ministra pravde u radu saveta i odnos između saveta i ostalih državnih vlasti. </w:t>
      </w:r>
    </w:p>
    <w:p w:rsidR="001572D8" w:rsidRDefault="001572D8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Deklaracija iz Viljnusa </w:t>
      </w:r>
      <w:r w:rsidR="00B616D9" w:rsidRPr="00B616D9">
        <w:rPr>
          <w:rFonts w:cs="Calibri,Bold"/>
          <w:b/>
          <w:bCs/>
          <w:color w:val="000000"/>
        </w:rPr>
        <w:t>(2011)</w:t>
      </w:r>
    </w:p>
    <w:p w:rsidR="00B616D9" w:rsidRP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</w:rPr>
      </w:pPr>
      <w:r>
        <w:rPr>
          <w:rFonts w:cs="Calibri"/>
          <w:color w:val="000000"/>
        </w:rPr>
        <w:t>Ovaj dokument, pod nazivom „Deklaracija iz Viljnusa o izazovima i mogućnostima za pravosuđe u trenutnoj ekonomskoj krizi“, dostupan je na</w:t>
      </w:r>
      <w:r w:rsidR="00F97816">
        <w:rPr>
          <w:rFonts w:cs="Calibri"/>
          <w:color w:val="000000"/>
        </w:rPr>
        <w:t xml:space="preserve">: </w:t>
      </w:r>
      <w:r w:rsidR="00B616D9" w:rsidRPr="00F97816">
        <w:rPr>
          <w:rFonts w:cs="Calibri"/>
          <w:color w:val="0000FF"/>
          <w:sz w:val="16"/>
          <w:szCs w:val="16"/>
        </w:rPr>
        <w:t>http://www.encj.eu/images/stories/pdf/GA/Vilnius/encj_vilnius_declaration.pdf</w:t>
      </w:r>
      <w:r w:rsidR="006E7871">
        <w:rPr>
          <w:rFonts w:cs="Calibri"/>
          <w:color w:val="0000FF"/>
        </w:rPr>
        <w:t>.</w:t>
      </w:r>
    </w:p>
    <w:p w:rsidR="00AB2743" w:rsidRPr="00B616D9" w:rsidRDefault="006538E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Deklaracija se bavi načinima na koj</w:t>
      </w:r>
      <w:r w:rsidR="00AB2743">
        <w:rPr>
          <w:rFonts w:cs="Calibri"/>
          <w:color w:val="000000"/>
        </w:rPr>
        <w:t>e</w:t>
      </w:r>
      <w:r>
        <w:rPr>
          <w:rFonts w:cs="Calibri"/>
          <w:color w:val="000000"/>
        </w:rPr>
        <w:t xml:space="preserve"> pravosuđe može da reaguje na ekonomsku krizu koja </w:t>
      </w:r>
      <w:r w:rsidR="00AB2743">
        <w:rPr>
          <w:rFonts w:cs="Calibri"/>
          <w:color w:val="000000"/>
        </w:rPr>
        <w:t xml:space="preserve">je značajno pogodila </w:t>
      </w:r>
      <w:r>
        <w:rPr>
          <w:rFonts w:cs="Calibri"/>
          <w:color w:val="000000"/>
        </w:rPr>
        <w:t xml:space="preserve">većinu evropskih zemalja.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Standard</w:t>
      </w:r>
      <w:r w:rsidR="00AB2743">
        <w:rPr>
          <w:rFonts w:cs="Calibri,Bold"/>
          <w:b/>
          <w:bCs/>
          <w:color w:val="000000"/>
        </w:rPr>
        <w:t>i</w:t>
      </w:r>
      <w:r w:rsidRPr="00B616D9">
        <w:rPr>
          <w:rFonts w:cs="Calibri,Bold"/>
          <w:b/>
          <w:bCs/>
          <w:color w:val="000000"/>
        </w:rPr>
        <w:t xml:space="preserve"> I (2011)</w:t>
      </w:r>
    </w:p>
    <w:p w:rsidR="00B616D9" w:rsidRPr="00F97816" w:rsidRDefault="00AB274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r>
        <w:rPr>
          <w:rFonts w:cs="Calibri"/>
          <w:color w:val="000000"/>
        </w:rPr>
        <w:t>Izveštaj, pod nazivom „Izrada minimalnih standarda u pravosuđu: izveštaj za 2010/2011. godinu“, je dostupan na</w:t>
      </w:r>
      <w:r w:rsidR="00F97816">
        <w:rPr>
          <w:rFonts w:cs="Calibri"/>
          <w:color w:val="000000"/>
        </w:rPr>
        <w:t xml:space="preserve">: </w:t>
      </w:r>
      <w:hyperlink r:id="rId27" w:history="1">
        <w:r w:rsidR="007F4A24" w:rsidRPr="00F97816">
          <w:rPr>
            <w:rStyle w:val="Hyperlink"/>
            <w:rFonts w:cs="Calibri"/>
            <w:sz w:val="18"/>
            <w:szCs w:val="18"/>
          </w:rPr>
          <w:t>http://www.encj.eu/images/stories/pdf/workinggroups/encj_report_project_team_minimum_standards.pdf</w:t>
        </w:r>
      </w:hyperlink>
      <w:r w:rsidR="007F4A24" w:rsidRPr="00F97816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AB2743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izveštaju su opisani predlozi minimalnih standarda vezanih za regrutovanje, izbor i imenovanje sudija; obuku sudija i sudsku etiku. Predlozi su sačinjeni u uverenju da bi uzajamno poverenje u pravosuđ</w:t>
      </w:r>
      <w:r w:rsidR="007F4A24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raznih evropskih zemalja moglo biti podriveno nerazumevanjem minimalnih standarda koje svaka zemlja primenjuje u tim oblastima i da bi usvajanjem minimalnih standarda u toj oblasti podržalo razvoj nezavisnih saveta pravosuđa i doprinelo stvar</w:t>
      </w:r>
      <w:r w:rsidR="007F4A24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nju zajedničke evropske pravosudne kulture.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B616D9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Standard</w:t>
      </w:r>
      <w:r w:rsidR="00AB2743">
        <w:rPr>
          <w:rFonts w:cs="Calibri,Bold"/>
          <w:b/>
          <w:bCs/>
          <w:color w:val="000000"/>
        </w:rPr>
        <w:t>i</w:t>
      </w:r>
      <w:r w:rsidRPr="00B616D9">
        <w:rPr>
          <w:rFonts w:cs="Calibri,Bold"/>
          <w:b/>
          <w:bCs/>
          <w:color w:val="000000"/>
        </w:rPr>
        <w:t xml:space="preserve"> II (2012)</w:t>
      </w:r>
    </w:p>
    <w:p w:rsidR="00B616D9" w:rsidRPr="00B616D9" w:rsidRDefault="007F4A24" w:rsidP="00BD505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</w:t>
      </w:r>
      <w:r w:rsidR="00BB18D5">
        <w:rPr>
          <w:rFonts w:cs="Calibri"/>
          <w:color w:val="000000"/>
        </w:rPr>
        <w:t>zveštaj, pod nazivom „Izrada minimalnih standarda u pravosuđu II“, dostupan je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8" w:history="1">
        <w:r w:rsidR="007F4A24" w:rsidRPr="00F97816">
          <w:rPr>
            <w:rStyle w:val="Hyperlink"/>
            <w:rFonts w:cs="Calibri"/>
            <w:sz w:val="18"/>
            <w:szCs w:val="18"/>
          </w:rPr>
          <w:t>http://www.encj.eu/images/stories/pdf/GA/Dublin/final_report_standards_ii.pdf</w:t>
        </w:r>
      </w:hyperlink>
      <w:r w:rsidR="007F4A24" w:rsidRPr="00F97816">
        <w:rPr>
          <w:rFonts w:cs="Calibri"/>
          <w:color w:val="0000FF"/>
          <w:sz w:val="18"/>
          <w:szCs w:val="18"/>
        </w:rPr>
        <w:t>.</w:t>
      </w:r>
    </w:p>
    <w:p w:rsidR="00BB18D5" w:rsidRPr="00B616D9" w:rsidRDefault="00BB18D5" w:rsidP="00BD5054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Autori izveštaja su se usredsredili na pokazatelje standarda vezanih za regrutovanje, izbor i imenovanje nosilaca pravosudnih funkcija, kao i na evaluaciju njihovog rada i unapređenje.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B616D9" w:rsidRPr="00B616D9" w:rsidRDefault="00BB18D5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Pravosuđe i mediji </w:t>
      </w:r>
      <w:r w:rsidR="00B616D9" w:rsidRPr="00B616D9">
        <w:rPr>
          <w:rFonts w:cs="Calibri,Bold"/>
          <w:b/>
          <w:bCs/>
          <w:color w:val="000000"/>
        </w:rPr>
        <w:t>II (2012)</w:t>
      </w:r>
    </w:p>
    <w:p w:rsidR="00B616D9" w:rsidRPr="00B616D9" w:rsidRDefault="00BB18D5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„Pravda, društvo i mediji: izveštaj za 2011/2012. godinu“,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29" w:history="1">
        <w:r w:rsidR="007F4A24" w:rsidRPr="00F97816">
          <w:rPr>
            <w:rStyle w:val="Hyperlink"/>
            <w:rFonts w:cs="Calibri"/>
            <w:sz w:val="18"/>
            <w:szCs w:val="18"/>
          </w:rPr>
          <w:t>http://www.encj.eu/images/stories/pdf/GA/Dublin/encj_report_justice_society_media_def.pdf</w:t>
        </w:r>
      </w:hyperlink>
      <w:r w:rsidR="007F4A24" w:rsidRPr="00F97816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BB18D5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 izveštaju se razmatraju sudije zadužene za odnose sa štampom i savetnici za komunikacije, snimanje ročišta i pretresa, publikacije, smernice za novinare i proaktivnost pravosuđa. Autori su se usredsredili na nedavna zbivanja u svakoj od tih oblasti i dali preporuke. Osnovne preporuke obuhvataju: imenovanje portparola suda, kakv</w:t>
      </w:r>
      <w:r w:rsidR="007F4A24">
        <w:rPr>
          <w:rFonts w:cs="Calibri"/>
          <w:color w:val="000000"/>
        </w:rPr>
        <w:t>asu</w:t>
      </w:r>
      <w:r>
        <w:rPr>
          <w:rFonts w:cs="Calibri"/>
          <w:color w:val="000000"/>
        </w:rPr>
        <w:t xml:space="preserve"> snimanj</w:t>
      </w:r>
      <w:r w:rsidR="007F4A24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dozvoljen</w:t>
      </w:r>
      <w:r w:rsidR="007F4A24">
        <w:rPr>
          <w:rFonts w:cs="Calibri"/>
          <w:color w:val="000000"/>
        </w:rPr>
        <w:t>a</w:t>
      </w:r>
      <w:r>
        <w:rPr>
          <w:rFonts w:cs="Calibri"/>
          <w:color w:val="000000"/>
        </w:rPr>
        <w:t>, izrad</w:t>
      </w:r>
      <w:r w:rsidR="007F4A24">
        <w:rPr>
          <w:rFonts w:cs="Calibri"/>
          <w:color w:val="000000"/>
        </w:rPr>
        <w:t>u</w:t>
      </w:r>
      <w:r>
        <w:rPr>
          <w:rFonts w:cs="Calibri"/>
          <w:color w:val="000000"/>
        </w:rPr>
        <w:t xml:space="preserve"> strategija komunikacije, internet stranice sudova, regulisan</w:t>
      </w:r>
      <w:r w:rsidR="007F4A24">
        <w:rPr>
          <w:rFonts w:cs="Calibri"/>
          <w:color w:val="000000"/>
        </w:rPr>
        <w:t>u</w:t>
      </w:r>
      <w:r>
        <w:rPr>
          <w:rFonts w:cs="Calibri"/>
          <w:color w:val="000000"/>
        </w:rPr>
        <w:t xml:space="preserve"> komunikacij</w:t>
      </w:r>
      <w:r w:rsidR="007F4A24">
        <w:rPr>
          <w:rFonts w:cs="Calibri"/>
          <w:color w:val="000000"/>
        </w:rPr>
        <w:t>u</w:t>
      </w:r>
      <w:r>
        <w:rPr>
          <w:rFonts w:cs="Calibri"/>
          <w:color w:val="000000"/>
        </w:rPr>
        <w:t xml:space="preserve"> sa medijima i proaktivan pristup pravosuđa u cilju uključivanja javnosti putem društvenih medija.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Default="00BB18D5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>
        <w:rPr>
          <w:rFonts w:cs="Calibri,Bold"/>
          <w:b/>
          <w:bCs/>
          <w:color w:val="000000"/>
        </w:rPr>
        <w:t xml:space="preserve">Reforma pravosuđa </w:t>
      </w:r>
      <w:r w:rsidR="00B616D9" w:rsidRPr="00B616D9">
        <w:rPr>
          <w:rFonts w:cs="Calibri,Bold"/>
          <w:b/>
          <w:bCs/>
          <w:color w:val="000000"/>
        </w:rPr>
        <w:t>(2012)</w:t>
      </w:r>
    </w:p>
    <w:p w:rsidR="00B616D9" w:rsidRPr="00B616D9" w:rsidRDefault="00BB18D5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Izveštaj, pod nazivom „Reforma pravosuđa u Evropi: 2011-2012“,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30" w:history="1">
        <w:r w:rsidR="007F4A24" w:rsidRPr="00F97816">
          <w:rPr>
            <w:rStyle w:val="Hyperlink"/>
            <w:rFonts w:cs="Calibri"/>
            <w:sz w:val="18"/>
            <w:szCs w:val="18"/>
          </w:rPr>
          <w:t>http://www.encj.eu/images/stories/pdf/GA/Dublin/encj_report_judicial_reform_def.pdf</w:t>
        </w:r>
      </w:hyperlink>
      <w:r w:rsidR="007F4A24" w:rsidRPr="00F97816">
        <w:rPr>
          <w:rFonts w:cs="Calibri"/>
          <w:color w:val="0000FF"/>
          <w:sz w:val="18"/>
          <w:szCs w:val="18"/>
        </w:rPr>
        <w:t>.</w:t>
      </w:r>
    </w:p>
    <w:p w:rsidR="00B616D9" w:rsidRPr="00B616D9" w:rsidRDefault="00BB18D5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Cilj procesa reforme pravosuđa trebalo bi da obuhvata unapređenje kvaliteta pravde i efikasnosti pravosuđa, zaštitu nezavisnosti sudstva i </w:t>
      </w:r>
      <w:r w:rsidR="007752C7">
        <w:rPr>
          <w:rFonts w:cs="Calibri"/>
          <w:color w:val="000000"/>
        </w:rPr>
        <w:t xml:space="preserve">unapređenje delotvornosti odgovornosti pravosuđa. Mora se olakšati pristup pravdi, uključujući i prekogranične sudske postupke. Autori izveštaja su se usredsredili na </w:t>
      </w:r>
      <w:r w:rsidR="007F4A24">
        <w:rPr>
          <w:rFonts w:cs="Calibri"/>
          <w:color w:val="000000"/>
        </w:rPr>
        <w:t xml:space="preserve">sledećih </w:t>
      </w:r>
      <w:r w:rsidR="007752C7">
        <w:rPr>
          <w:rFonts w:cs="Calibri"/>
          <w:color w:val="000000"/>
        </w:rPr>
        <w:t xml:space="preserve">pet velikih oblasti reforme: 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>1. Organiza</w:t>
      </w:r>
      <w:r w:rsidR="007752C7">
        <w:rPr>
          <w:rFonts w:cs="Calibri"/>
          <w:color w:val="000000"/>
        </w:rPr>
        <w:t>ciju sudova i javnih tužilaštava</w:t>
      </w:r>
      <w:r w:rsidRPr="00B616D9">
        <w:rPr>
          <w:rFonts w:cs="Calibri"/>
          <w:color w:val="000000"/>
        </w:rPr>
        <w:t>;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2. </w:t>
      </w:r>
      <w:r w:rsidR="00D72A9B">
        <w:rPr>
          <w:rFonts w:cs="Calibri"/>
          <w:color w:val="000000"/>
        </w:rPr>
        <w:t>Broj</w:t>
      </w:r>
      <w:r w:rsidR="007752C7">
        <w:rPr>
          <w:rFonts w:cs="Calibri"/>
          <w:color w:val="000000"/>
        </w:rPr>
        <w:t xml:space="preserve"> sudskih predmeta</w:t>
      </w:r>
      <w:r w:rsidRPr="00B616D9">
        <w:rPr>
          <w:rFonts w:cs="Calibri"/>
          <w:color w:val="000000"/>
        </w:rPr>
        <w:t>;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3. </w:t>
      </w:r>
      <w:r w:rsidR="007752C7">
        <w:rPr>
          <w:rFonts w:cs="Calibri"/>
          <w:color w:val="000000"/>
        </w:rPr>
        <w:t>Sudski postupak, upravljanje predmetima i nove tehnologije</w:t>
      </w:r>
      <w:r w:rsidRPr="00B616D9">
        <w:rPr>
          <w:rFonts w:cs="Calibri"/>
          <w:color w:val="000000"/>
        </w:rPr>
        <w:t>;</w:t>
      </w:r>
    </w:p>
    <w:p w:rsidR="00B616D9" w:rsidRPr="00B616D9" w:rsidRDefault="00B616D9" w:rsidP="00F978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>4. Finan</w:t>
      </w:r>
      <w:r w:rsidR="007752C7">
        <w:rPr>
          <w:rFonts w:cs="Calibri"/>
          <w:color w:val="000000"/>
        </w:rPr>
        <w:t>siranje sudskog sistema</w:t>
      </w:r>
      <w:r w:rsidRPr="00B616D9">
        <w:rPr>
          <w:rFonts w:cs="Calibri"/>
          <w:color w:val="000000"/>
        </w:rPr>
        <w:t>;</w:t>
      </w:r>
    </w:p>
    <w:p w:rsidR="00B616D9" w:rsidRDefault="00B616D9" w:rsidP="00A536F0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cs="Calibri"/>
          <w:color w:val="000000"/>
        </w:rPr>
      </w:pPr>
      <w:r w:rsidRPr="00B616D9">
        <w:rPr>
          <w:rFonts w:cs="Calibri"/>
          <w:color w:val="000000"/>
        </w:rPr>
        <w:t xml:space="preserve">5. </w:t>
      </w:r>
      <w:r w:rsidR="007752C7">
        <w:rPr>
          <w:rFonts w:cs="Calibri"/>
          <w:color w:val="000000"/>
        </w:rPr>
        <w:t>Upravljanje sudom i dod</w:t>
      </w:r>
      <w:r w:rsidR="00D72A9B">
        <w:rPr>
          <w:rFonts w:cs="Calibri"/>
          <w:color w:val="000000"/>
        </w:rPr>
        <w:t>e</w:t>
      </w:r>
      <w:r w:rsidR="007752C7">
        <w:rPr>
          <w:rFonts w:cs="Calibri"/>
          <w:color w:val="000000"/>
        </w:rPr>
        <w:t>lu predmeta</w:t>
      </w:r>
      <w:r w:rsidRPr="00B616D9">
        <w:rPr>
          <w:rFonts w:cs="Calibri"/>
          <w:color w:val="000000"/>
        </w:rPr>
        <w:t>.</w:t>
      </w:r>
    </w:p>
    <w:p w:rsidR="00B616D9" w:rsidRPr="00B616D9" w:rsidRDefault="007752C7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 xml:space="preserve">U izveštaju su ocenjena trenutna zbivanja i on se bavi procesom reforme koji iziskuje održavanje ravnoteže između pristupa pravdi, delotvornosti i efikasnosti. Osnovna prava moraju biti garantovana uprkos ekonomskim uslovima. </w:t>
      </w:r>
    </w:p>
    <w:p w:rsidR="000E78EB" w:rsidRDefault="000E78EB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  <w:color w:val="000000"/>
        </w:rPr>
      </w:pPr>
    </w:p>
    <w:p w:rsidR="00B616D9" w:rsidRPr="00B616D9" w:rsidRDefault="00B616D9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,Bold"/>
          <w:b/>
          <w:bCs/>
          <w:color w:val="000000"/>
        </w:rPr>
      </w:pPr>
      <w:r w:rsidRPr="00B616D9">
        <w:rPr>
          <w:rFonts w:cs="Calibri,Bold"/>
          <w:b/>
          <w:bCs/>
          <w:color w:val="000000"/>
        </w:rPr>
        <w:t>D</w:t>
      </w:r>
      <w:r w:rsidR="007752C7">
        <w:rPr>
          <w:rFonts w:cs="Calibri,Bold"/>
          <w:b/>
          <w:bCs/>
          <w:color w:val="000000"/>
        </w:rPr>
        <w:t xml:space="preserve">ablinska deklaracija </w:t>
      </w:r>
      <w:r w:rsidRPr="00B616D9">
        <w:rPr>
          <w:rFonts w:cs="Calibri,Bold"/>
          <w:b/>
          <w:bCs/>
          <w:color w:val="000000"/>
        </w:rPr>
        <w:t>2012</w:t>
      </w:r>
    </w:p>
    <w:p w:rsidR="00B616D9" w:rsidRPr="00B616D9" w:rsidRDefault="007752C7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Ovaj dokument, pod nazivom „Dablinska deklaracija o standardima za regrutovanje i imenovanje nosilaca pravosudnih funkcija“, je dostupan na</w:t>
      </w:r>
      <w:r w:rsidR="00F97816">
        <w:rPr>
          <w:rFonts w:cs="Calibri"/>
          <w:color w:val="000000"/>
        </w:rPr>
        <w:t>:</w:t>
      </w:r>
    </w:p>
    <w:p w:rsidR="00B616D9" w:rsidRPr="00F97816" w:rsidRDefault="00FB03A6" w:rsidP="00A536F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FF"/>
          <w:sz w:val="18"/>
          <w:szCs w:val="18"/>
        </w:rPr>
      </w:pPr>
      <w:hyperlink r:id="rId31" w:history="1">
        <w:r w:rsidR="00D72A9B" w:rsidRPr="00F97816">
          <w:rPr>
            <w:rStyle w:val="Hyperlink"/>
            <w:rFonts w:cs="Calibri"/>
            <w:sz w:val="18"/>
            <w:szCs w:val="18"/>
          </w:rPr>
          <w:t>http://www.encj.eu/images/stories/pdf/GA/Dublin/encj_dublin_declaration_def_dclaration_de_dublin_recj_def.pdf</w:t>
        </w:r>
      </w:hyperlink>
      <w:r w:rsidR="00D72A9B" w:rsidRPr="00F97816">
        <w:rPr>
          <w:rFonts w:cs="Calibri"/>
          <w:color w:val="0000FF"/>
          <w:sz w:val="18"/>
          <w:szCs w:val="18"/>
        </w:rPr>
        <w:t>.</w:t>
      </w:r>
    </w:p>
    <w:p w:rsidR="004F2442" w:rsidRPr="00B616D9" w:rsidRDefault="007752C7" w:rsidP="00F9781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333333"/>
        </w:rPr>
      </w:pPr>
      <w:r>
        <w:rPr>
          <w:rFonts w:cs="Calibri"/>
          <w:color w:val="333333"/>
        </w:rPr>
        <w:t xml:space="preserve">ENCJ promoviše interakciju između evropskih pravosuđa </w:t>
      </w:r>
      <w:r w:rsidR="00D72A9B">
        <w:rPr>
          <w:rFonts w:cs="Calibri"/>
          <w:color w:val="333333"/>
        </w:rPr>
        <w:t xml:space="preserve">u cilju unapređenja saradnje i podsticanja </w:t>
      </w:r>
      <w:r>
        <w:rPr>
          <w:rFonts w:cs="Calibri"/>
          <w:color w:val="333333"/>
        </w:rPr>
        <w:t>razmen</w:t>
      </w:r>
      <w:r w:rsidR="00D72A9B">
        <w:rPr>
          <w:rFonts w:cs="Calibri"/>
          <w:color w:val="333333"/>
        </w:rPr>
        <w:t>e</w:t>
      </w:r>
      <w:r>
        <w:rPr>
          <w:rFonts w:cs="Calibri"/>
          <w:color w:val="333333"/>
        </w:rPr>
        <w:t xml:space="preserve"> najbolje prakse, što će ojačati uzajamno poverenje. ENCJ veruje da utvrđivanje minimalnih standarda u pravosuđu i relevantnih pokazatelja u tim konkretnim oblastima pravosudnim sistemima obezbeđuje</w:t>
      </w:r>
      <w:r w:rsidR="004F2442">
        <w:rPr>
          <w:rFonts w:cs="Calibri"/>
          <w:color w:val="333333"/>
        </w:rPr>
        <w:t xml:space="preserve"> alat</w:t>
      </w:r>
      <w:r>
        <w:rPr>
          <w:rFonts w:cs="Calibri"/>
          <w:color w:val="333333"/>
        </w:rPr>
        <w:t xml:space="preserve"> za samoocenjivanje </w:t>
      </w:r>
      <w:r w:rsidR="004F2442">
        <w:rPr>
          <w:rFonts w:cs="Calibri"/>
          <w:color w:val="333333"/>
        </w:rPr>
        <w:t xml:space="preserve">i da će </w:t>
      </w:r>
      <w:r w:rsidR="00D72A9B">
        <w:rPr>
          <w:rFonts w:cs="Calibri"/>
          <w:color w:val="333333"/>
        </w:rPr>
        <w:t xml:space="preserve">se time </w:t>
      </w:r>
      <w:r w:rsidR="004F2442">
        <w:rPr>
          <w:rFonts w:cs="Calibri"/>
          <w:color w:val="333333"/>
        </w:rPr>
        <w:t xml:space="preserve">unaprediti razvoj pravosudnih sistema u Evropi. Time će se podržati razvoj nezavisnih saveta pravosuđa i doprineti izgradnji evropske pravosudne kulture. U Dablinskoj deklaraciji, kojom je ENCJ nastavila rad na izradi minimalnih standarda za </w:t>
      </w:r>
      <w:r w:rsidR="00D72A9B">
        <w:rPr>
          <w:rFonts w:cs="Calibri"/>
          <w:color w:val="333333"/>
        </w:rPr>
        <w:t xml:space="preserve">sektor </w:t>
      </w:r>
      <w:r w:rsidR="004F2442">
        <w:rPr>
          <w:rFonts w:cs="Calibri"/>
          <w:color w:val="333333"/>
        </w:rPr>
        <w:t>pravosu</w:t>
      </w:r>
      <w:r w:rsidR="00D72A9B">
        <w:rPr>
          <w:rFonts w:cs="Calibri"/>
          <w:color w:val="333333"/>
        </w:rPr>
        <w:t>đa</w:t>
      </w:r>
      <w:r w:rsidR="004F2442">
        <w:rPr>
          <w:rFonts w:cs="Calibri"/>
          <w:color w:val="333333"/>
        </w:rPr>
        <w:t xml:space="preserve">, su postavljeni minimalni standardi za izbor, imenovanje i unapređenje sudija. </w:t>
      </w:r>
    </w:p>
    <w:p w:rsidR="00802D30" w:rsidRDefault="00802D30" w:rsidP="0076070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</w:p>
    <w:p w:rsidR="00B616D9" w:rsidRPr="00A536F0" w:rsidRDefault="00F13F65" w:rsidP="0076070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A536F0">
        <w:rPr>
          <w:rFonts w:cs="Times New Roman"/>
          <w:b/>
          <w:bCs/>
          <w:sz w:val="24"/>
          <w:szCs w:val="24"/>
        </w:rPr>
        <w:t>Napomene</w:t>
      </w:r>
      <w:r w:rsidR="00B616D9" w:rsidRPr="00A536F0">
        <w:rPr>
          <w:rFonts w:cs="Times New Roman"/>
          <w:b/>
          <w:bCs/>
          <w:sz w:val="24"/>
          <w:szCs w:val="24"/>
        </w:rPr>
        <w:t>:</w:t>
      </w:r>
    </w:p>
    <w:sectPr w:rsidR="00B616D9" w:rsidRPr="00A536F0" w:rsidSect="00F97816">
      <w:footerReference w:type="default" r:id="rId32"/>
      <w:pgSz w:w="12240" w:h="15840"/>
      <w:pgMar w:top="340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57B" w:rsidRDefault="00C4357B" w:rsidP="004F2442">
      <w:pPr>
        <w:spacing w:after="0" w:line="240" w:lineRule="auto"/>
      </w:pPr>
      <w:r>
        <w:separator/>
      </w:r>
    </w:p>
  </w:endnote>
  <w:endnote w:type="continuationSeparator" w:id="1">
    <w:p w:rsidR="00C4357B" w:rsidRDefault="00C4357B" w:rsidP="004F2442">
      <w:pPr>
        <w:spacing w:after="0" w:line="240" w:lineRule="auto"/>
      </w:pPr>
      <w:r>
        <w:continuationSeparator/>
      </w:r>
    </w:p>
  </w:endnote>
  <w:endnote w:id="2">
    <w:p w:rsidR="00E92379" w:rsidRPr="00E52603" w:rsidRDefault="00E92379">
      <w:pPr>
        <w:pStyle w:val="EndnoteText"/>
      </w:pPr>
      <w:r>
        <w:rPr>
          <w:rStyle w:val="EndnoteReference"/>
        </w:rPr>
        <w:endnoteRef/>
      </w:r>
      <w:r>
        <w:tab/>
      </w:r>
      <w:r w:rsidRPr="00E52603">
        <w:t>Izveštaji o sudskojetici</w:t>
      </w:r>
      <w:r w:rsidRPr="00E52603">
        <w:rPr>
          <w:rFonts w:cs="Times New Roman"/>
        </w:rPr>
        <w:t>(2008-2010) i Londonska deklaracija iz 2010.</w:t>
      </w:r>
    </w:p>
  </w:endnote>
  <w:endnote w:id="3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rFonts w:cs="Times New Roman"/>
          <w:sz w:val="20"/>
          <w:szCs w:val="20"/>
        </w:rPr>
        <w:t>Londonska deklaracija iz 2010.</w:t>
      </w:r>
    </w:p>
  </w:endnote>
  <w:endnote w:id="4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Budimpeštanska</w:t>
      </w:r>
      <w:r>
        <w:t>rezolucija</w:t>
      </w:r>
      <w:r w:rsidRPr="00E52603">
        <w:t>o savetimapravosuđa</w:t>
      </w:r>
      <w:r w:rsidRPr="00E52603">
        <w:rPr>
          <w:rFonts w:cs="Times New Roman"/>
        </w:rPr>
        <w:t xml:space="preserve"> (2008).</w:t>
      </w:r>
    </w:p>
  </w:endnote>
  <w:endnote w:id="5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Izveštaj o reformipravosuđa u Evropi</w:t>
      </w:r>
      <w:r w:rsidRPr="00E52603">
        <w:rPr>
          <w:rFonts w:cs="Times New Roman"/>
          <w:sz w:val="20"/>
          <w:szCs w:val="20"/>
        </w:rPr>
        <w:t>(2012).</w:t>
      </w:r>
    </w:p>
  </w:endnote>
  <w:endnote w:id="6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savetimapravosuđa</w:t>
      </w:r>
      <w:r w:rsidRPr="00E52603">
        <w:rPr>
          <w:rFonts w:cs="Times New Roman"/>
        </w:rPr>
        <w:t xml:space="preserve"> (2011).</w:t>
      </w:r>
    </w:p>
  </w:endnote>
  <w:endnote w:id="7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Budimpeštanska</w:t>
      </w:r>
      <w:r>
        <w:t>rezolucija</w:t>
      </w:r>
      <w:r w:rsidRPr="00E52603">
        <w:t>o savetimapravosuđa</w:t>
      </w:r>
      <w:r w:rsidRPr="00E52603">
        <w:rPr>
          <w:rFonts w:cs="Times New Roman"/>
        </w:rPr>
        <w:t xml:space="preserve"> (2008).</w:t>
      </w:r>
    </w:p>
  </w:endnote>
  <w:endnote w:id="8">
    <w:p w:rsidR="00E92379" w:rsidRPr="00E52603" w:rsidRDefault="00E92379" w:rsidP="00411D96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Budimpeštanska</w:t>
      </w:r>
      <w:r>
        <w:t>rezolucija</w:t>
      </w:r>
      <w:r w:rsidRPr="00E52603">
        <w:t>o savetimapravosuđa</w:t>
      </w:r>
      <w:r w:rsidRPr="00E52603">
        <w:rPr>
          <w:rFonts w:cs="Times New Roman"/>
        </w:rPr>
        <w:t xml:space="preserve"> (2008).</w:t>
      </w:r>
    </w:p>
  </w:endnote>
  <w:endnote w:id="9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savetimapravosuđa</w:t>
      </w:r>
      <w:r w:rsidRPr="00E52603">
        <w:rPr>
          <w:rFonts w:cs="Times New Roman"/>
        </w:rPr>
        <w:t xml:space="preserve"> (2011).</w:t>
      </w:r>
    </w:p>
  </w:endnote>
  <w:endnote w:id="10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savetimapravosuđa</w:t>
      </w:r>
      <w:r w:rsidRPr="00E52603">
        <w:rPr>
          <w:rFonts w:cs="Times New Roman"/>
        </w:rPr>
        <w:t xml:space="preserve"> (2011).</w:t>
      </w:r>
    </w:p>
  </w:endnote>
  <w:endnote w:id="11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rPr>
          <w:rFonts w:cs="Times New Roman"/>
        </w:rPr>
        <w:t xml:space="preserve">Londonska deklaracija iz 2010. i </w:t>
      </w:r>
      <w:r w:rsidRPr="00E52603">
        <w:t>Izveštaji o sudskojetici</w:t>
      </w:r>
      <w:r w:rsidRPr="00E52603">
        <w:rPr>
          <w:rFonts w:cs="Times New Roman"/>
        </w:rPr>
        <w:t>(2008-2010).</w:t>
      </w:r>
    </w:p>
  </w:endnote>
  <w:endnote w:id="12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Dablinskadeklaracijausvojena 11.maja 2012</w:t>
      </w:r>
      <w:r w:rsidRPr="00E52603">
        <w:rPr>
          <w:rFonts w:cs="Times New Roman"/>
          <w:sz w:val="20"/>
          <w:szCs w:val="20"/>
        </w:rPr>
        <w:t>.</w:t>
      </w:r>
    </w:p>
  </w:endnote>
  <w:endnote w:id="13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reformipravosuđa u Evropi</w:t>
      </w:r>
      <w:r w:rsidRPr="00E52603">
        <w:rPr>
          <w:rFonts w:cs="Times New Roman"/>
        </w:rPr>
        <w:t>(2012).</w:t>
      </w:r>
    </w:p>
  </w:endnote>
  <w:endnote w:id="14">
    <w:p w:rsidR="00E92379" w:rsidRPr="00E52603" w:rsidRDefault="00E92379" w:rsidP="00411D96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savetimapravosuđa</w:t>
      </w:r>
      <w:r w:rsidRPr="00E52603">
        <w:rPr>
          <w:rFonts w:cs="Times New Roman"/>
        </w:rPr>
        <w:t xml:space="preserve"> (2011).</w:t>
      </w:r>
    </w:p>
  </w:endnote>
  <w:endnote w:id="15">
    <w:p w:rsidR="00E92379" w:rsidRPr="00E52603" w:rsidRDefault="00E92379" w:rsidP="002D589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ENCJ je u potpunostiposvećenaciljevimaizloženim u SaopštenjuEvropskekomisijeod 13. septembra 2011.</w:t>
      </w:r>
    </w:p>
  </w:endnote>
  <w:endnote w:id="16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Izveštaj o savetimapravosuđa</w:t>
      </w:r>
      <w:r w:rsidRPr="00E52603">
        <w:rPr>
          <w:rFonts w:cs="Times New Roman"/>
          <w:sz w:val="20"/>
          <w:szCs w:val="20"/>
        </w:rPr>
        <w:t xml:space="preserve"> (2011).</w:t>
      </w:r>
    </w:p>
  </w:endnote>
  <w:endnote w:id="17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krivičnompravu u EU</w:t>
      </w:r>
      <w:r w:rsidRPr="00E52603">
        <w:rPr>
          <w:rFonts w:cs="Times New Roman"/>
        </w:rPr>
        <w:t xml:space="preserve"> (2008).</w:t>
      </w:r>
    </w:p>
  </w:endnote>
  <w:endnote w:id="18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t>Izveštaj o krivičnompravu u EU</w:t>
      </w:r>
      <w:r w:rsidRPr="00E52603">
        <w:rPr>
          <w:rFonts w:cs="Times New Roman"/>
        </w:rPr>
        <w:t xml:space="preserve"> (2008).</w:t>
      </w:r>
    </w:p>
  </w:endnote>
  <w:endnote w:id="19">
    <w:p w:rsidR="00E92379" w:rsidRPr="00E52603" w:rsidRDefault="00E92379" w:rsidP="00AE09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Izveštaj o upravljanjukvalitetom</w:t>
      </w:r>
      <w:r w:rsidRPr="00E52603">
        <w:rPr>
          <w:rFonts w:cs="Times New Roman"/>
          <w:sz w:val="20"/>
          <w:szCs w:val="20"/>
        </w:rPr>
        <w:t xml:space="preserve"> (2008).</w:t>
      </w:r>
    </w:p>
  </w:endnote>
  <w:endnote w:id="20">
    <w:p w:rsidR="00E92379" w:rsidRPr="00E52603" w:rsidRDefault="00E92379" w:rsidP="00AE09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 xml:space="preserve">Izveštaji o upravljanjupredmetima I i II </w:t>
      </w:r>
      <w:r w:rsidRPr="00E52603">
        <w:rPr>
          <w:rFonts w:cs="Times New Roman"/>
          <w:sz w:val="20"/>
          <w:szCs w:val="20"/>
        </w:rPr>
        <w:t>(2006) i Izveštaj o reformi pravosuđa u Evropi (2012).</w:t>
      </w:r>
    </w:p>
  </w:endnote>
  <w:endnote w:id="21">
    <w:p w:rsidR="00E92379" w:rsidRPr="00E52603" w:rsidRDefault="00E92379" w:rsidP="00AE09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Izveštaj o blagovremenosti</w:t>
      </w:r>
      <w:r w:rsidRPr="00E52603">
        <w:rPr>
          <w:rFonts w:cs="Times New Roman"/>
          <w:sz w:val="20"/>
          <w:szCs w:val="20"/>
        </w:rPr>
        <w:t xml:space="preserve"> (2011) i Izveštaj o reformi pravosuđa u Evropi (2012).</w:t>
      </w:r>
    </w:p>
  </w:endnote>
  <w:endnote w:id="22">
    <w:p w:rsidR="00E92379" w:rsidRPr="00E52603" w:rsidRDefault="00E92379" w:rsidP="00590A1B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 xml:space="preserve">Izveštaj o </w:t>
      </w:r>
      <w:r>
        <w:rPr>
          <w:sz w:val="20"/>
          <w:szCs w:val="20"/>
        </w:rPr>
        <w:t>upravljanju</w:t>
      </w:r>
      <w:r w:rsidRPr="00E52603">
        <w:rPr>
          <w:sz w:val="20"/>
          <w:szCs w:val="20"/>
        </w:rPr>
        <w:t>kvalitet</w:t>
      </w:r>
      <w:r>
        <w:rPr>
          <w:sz w:val="20"/>
          <w:szCs w:val="20"/>
        </w:rPr>
        <w:t>om</w:t>
      </w:r>
      <w:r w:rsidRPr="00E52603">
        <w:rPr>
          <w:sz w:val="20"/>
          <w:szCs w:val="20"/>
        </w:rPr>
        <w:t>rada</w:t>
      </w:r>
      <w:r w:rsidRPr="00E52603">
        <w:rPr>
          <w:rFonts w:cs="Times New Roman"/>
          <w:sz w:val="20"/>
          <w:szCs w:val="20"/>
        </w:rPr>
        <w:t xml:space="preserve">(2007), Izveštaj o finansiranju sudova i odgovornosti </w:t>
      </w:r>
    </w:p>
    <w:p w:rsidR="00E92379" w:rsidRPr="00E52603" w:rsidRDefault="00E92379" w:rsidP="00AE09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Fonts w:cs="Times New Roman"/>
          <w:sz w:val="20"/>
          <w:szCs w:val="20"/>
        </w:rPr>
        <w:t>(2007), i Izveštaj o reformi pravosuđa u Evropi (2012).</w:t>
      </w:r>
    </w:p>
  </w:endnote>
  <w:endnote w:id="23">
    <w:p w:rsidR="00E92379" w:rsidRPr="00E52603" w:rsidRDefault="00E92379" w:rsidP="00AE09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Izveštaj o kvalitetu i pristupupravdi</w:t>
      </w:r>
      <w:r w:rsidRPr="00E52603">
        <w:rPr>
          <w:rFonts w:cs="Times New Roman"/>
          <w:sz w:val="20"/>
          <w:szCs w:val="20"/>
        </w:rPr>
        <w:t xml:space="preserve">II (2010) i </w:t>
      </w:r>
      <w:r>
        <w:rPr>
          <w:rFonts w:cs="Times New Roman"/>
          <w:sz w:val="20"/>
          <w:szCs w:val="20"/>
        </w:rPr>
        <w:t xml:space="preserve">Bukureštanska rezolucija </w:t>
      </w:r>
      <w:r w:rsidRPr="00E52603">
        <w:rPr>
          <w:rFonts w:cs="Times New Roman"/>
          <w:sz w:val="20"/>
          <w:szCs w:val="20"/>
        </w:rPr>
        <w:t>(2009).</w:t>
      </w:r>
    </w:p>
  </w:endnote>
  <w:endnote w:id="24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rFonts w:cs="Times New Roman"/>
          <w:sz w:val="20"/>
          <w:szCs w:val="20"/>
        </w:rPr>
        <w:t>Izveštaj o finansiranju sudova i odgovornosti (2007), i Izveštaj o reformi pravosuđa u Evropi (2012).</w:t>
      </w:r>
    </w:p>
  </w:endnote>
  <w:endnote w:id="25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rFonts w:cs="Calibri"/>
          <w:color w:val="000000"/>
          <w:sz w:val="20"/>
          <w:szCs w:val="20"/>
        </w:rPr>
        <w:t>Upravljanje kvalitetom i veza između upravljanja kvalitetom i transparentnosti i pristupa pravdi</w:t>
      </w:r>
      <w:r w:rsidRPr="00E52603">
        <w:rPr>
          <w:rFonts w:cs="Times New Roman"/>
          <w:sz w:val="20"/>
          <w:szCs w:val="20"/>
        </w:rPr>
        <w:t xml:space="preserve"> i </w:t>
      </w:r>
      <w:r>
        <w:rPr>
          <w:rFonts w:cs="Times New Roman"/>
          <w:sz w:val="20"/>
          <w:szCs w:val="20"/>
        </w:rPr>
        <w:t xml:space="preserve">Bukureštanska rezolucija </w:t>
      </w:r>
      <w:r w:rsidRPr="00E52603">
        <w:rPr>
          <w:rFonts w:cs="Times New Roman"/>
          <w:sz w:val="20"/>
          <w:szCs w:val="20"/>
        </w:rPr>
        <w:t>o transparentnosti i pristupu pravdi (2009).</w:t>
      </w:r>
    </w:p>
  </w:endnote>
  <w:endnote w:id="26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Budimpeštanska</w:t>
      </w:r>
      <w:r>
        <w:rPr>
          <w:sz w:val="20"/>
          <w:szCs w:val="20"/>
        </w:rPr>
        <w:t>rezolucija</w:t>
      </w:r>
      <w:r w:rsidRPr="00E52603">
        <w:rPr>
          <w:sz w:val="20"/>
          <w:szCs w:val="20"/>
        </w:rPr>
        <w:t xml:space="preserve"> o savetimapravosuđa (</w:t>
      </w:r>
      <w:r w:rsidRPr="00E52603">
        <w:rPr>
          <w:rFonts w:cs="Calibri"/>
          <w:color w:val="000000"/>
          <w:sz w:val="20"/>
          <w:szCs w:val="20"/>
        </w:rPr>
        <w:t>Samouprava za pravosuđe: postizanje ravnoteže između nezavisnosti i odgovornosti)</w:t>
      </w:r>
      <w:r w:rsidRPr="00E52603">
        <w:rPr>
          <w:rFonts w:cs="Times New Roman"/>
          <w:sz w:val="20"/>
          <w:szCs w:val="20"/>
        </w:rPr>
        <w:t xml:space="preserve"> (2008).</w:t>
      </w:r>
    </w:p>
  </w:endnote>
  <w:endnote w:id="27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Pravosuđe, društvo i mediji – izveštajiz 2012.</w:t>
      </w:r>
    </w:p>
  </w:endnote>
  <w:endnote w:id="28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Javnopoverenje (2010) i Merenjejavnogpoverenjananacio</w:t>
      </w:r>
      <w:bookmarkStart w:id="0" w:name="_GoBack"/>
      <w:bookmarkEnd w:id="0"/>
      <w:r w:rsidRPr="00E52603">
        <w:rPr>
          <w:sz w:val="20"/>
          <w:szCs w:val="20"/>
        </w:rPr>
        <w:t>nalnom i transnacionalnomnivou (2011)</w:t>
      </w:r>
      <w:r w:rsidRPr="00E52603">
        <w:rPr>
          <w:rFonts w:cs="Times New Roman"/>
          <w:sz w:val="20"/>
          <w:szCs w:val="20"/>
        </w:rPr>
        <w:t>.</w:t>
      </w:r>
    </w:p>
  </w:endnote>
  <w:endnote w:id="29">
    <w:p w:rsidR="00E92379" w:rsidRPr="00E52603" w:rsidRDefault="00E92379" w:rsidP="00614B6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52603">
        <w:rPr>
          <w:rStyle w:val="EndnoteReference"/>
          <w:sz w:val="20"/>
          <w:szCs w:val="20"/>
        </w:rPr>
        <w:endnoteRef/>
      </w:r>
      <w:r>
        <w:rPr>
          <w:sz w:val="20"/>
          <w:szCs w:val="20"/>
        </w:rPr>
        <w:tab/>
      </w:r>
      <w:r w:rsidRPr="00E52603">
        <w:rPr>
          <w:sz w:val="20"/>
          <w:szCs w:val="20"/>
        </w:rPr>
        <w:t>Uzajamnopoverenje</w:t>
      </w:r>
      <w:r w:rsidRPr="00E52603">
        <w:rPr>
          <w:rFonts w:cs="Times New Roman"/>
          <w:sz w:val="20"/>
          <w:szCs w:val="20"/>
        </w:rPr>
        <w:t>IV (2010).</w:t>
      </w:r>
    </w:p>
  </w:endnote>
  <w:endnote w:id="30">
    <w:p w:rsidR="00E92379" w:rsidRPr="00E52603" w:rsidRDefault="00E92379">
      <w:pPr>
        <w:pStyle w:val="EndnoteText"/>
      </w:pPr>
      <w:r w:rsidRPr="00E52603">
        <w:rPr>
          <w:rStyle w:val="EndnoteReference"/>
        </w:rPr>
        <w:endnoteRef/>
      </w:r>
      <w:r>
        <w:tab/>
      </w:r>
      <w:r w:rsidRPr="00E52603">
        <w:rPr>
          <w:rFonts w:cs="Times New Roman"/>
        </w:rPr>
        <w:t>Elektronska pravda (2009).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0907"/>
      <w:docPartObj>
        <w:docPartGallery w:val="Page Numbers (Bottom of Page)"/>
        <w:docPartUnique/>
      </w:docPartObj>
    </w:sdtPr>
    <w:sdtContent>
      <w:p w:rsidR="00E92379" w:rsidRDefault="00FB03A6">
        <w:pPr>
          <w:pStyle w:val="Footer"/>
          <w:jc w:val="right"/>
        </w:pPr>
        <w:fldSimple w:instr=" PAGE   \* MERGEFORMAT ">
          <w:r w:rsidR="006739D2">
            <w:rPr>
              <w:noProof/>
            </w:rPr>
            <w:t>1</w:t>
          </w:r>
        </w:fldSimple>
      </w:p>
    </w:sdtContent>
  </w:sdt>
  <w:p w:rsidR="00E92379" w:rsidRDefault="00E923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57B" w:rsidRDefault="00C4357B" w:rsidP="004F2442">
      <w:pPr>
        <w:spacing w:after="0" w:line="240" w:lineRule="auto"/>
      </w:pPr>
      <w:r>
        <w:separator/>
      </w:r>
    </w:p>
  </w:footnote>
  <w:footnote w:type="continuationSeparator" w:id="1">
    <w:p w:rsidR="00C4357B" w:rsidRDefault="00C4357B" w:rsidP="004F24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2E7"/>
    <w:rsid w:val="0001138B"/>
    <w:rsid w:val="00067CBD"/>
    <w:rsid w:val="000737F4"/>
    <w:rsid w:val="00095F34"/>
    <w:rsid w:val="000A2F99"/>
    <w:rsid w:val="000D327A"/>
    <w:rsid w:val="000E672B"/>
    <w:rsid w:val="000E78EB"/>
    <w:rsid w:val="0013604D"/>
    <w:rsid w:val="001369BA"/>
    <w:rsid w:val="001572D8"/>
    <w:rsid w:val="001842C7"/>
    <w:rsid w:val="00217799"/>
    <w:rsid w:val="00241262"/>
    <w:rsid w:val="00265376"/>
    <w:rsid w:val="00290C63"/>
    <w:rsid w:val="0029523C"/>
    <w:rsid w:val="002D1180"/>
    <w:rsid w:val="002D589D"/>
    <w:rsid w:val="0031337C"/>
    <w:rsid w:val="0032482E"/>
    <w:rsid w:val="00340DF6"/>
    <w:rsid w:val="0034784B"/>
    <w:rsid w:val="00350BA0"/>
    <w:rsid w:val="00380F8A"/>
    <w:rsid w:val="00397994"/>
    <w:rsid w:val="00397E72"/>
    <w:rsid w:val="003D5CAF"/>
    <w:rsid w:val="003E631C"/>
    <w:rsid w:val="00400617"/>
    <w:rsid w:val="00411D96"/>
    <w:rsid w:val="004215D8"/>
    <w:rsid w:val="00443BAD"/>
    <w:rsid w:val="004622BE"/>
    <w:rsid w:val="004727D6"/>
    <w:rsid w:val="004A0C8B"/>
    <w:rsid w:val="004F2442"/>
    <w:rsid w:val="0051725A"/>
    <w:rsid w:val="00533854"/>
    <w:rsid w:val="00540DE8"/>
    <w:rsid w:val="00573659"/>
    <w:rsid w:val="00577FD4"/>
    <w:rsid w:val="00590A1B"/>
    <w:rsid w:val="005966C6"/>
    <w:rsid w:val="005A31A6"/>
    <w:rsid w:val="005D5F98"/>
    <w:rsid w:val="00614B69"/>
    <w:rsid w:val="006150AA"/>
    <w:rsid w:val="006538E3"/>
    <w:rsid w:val="006739D2"/>
    <w:rsid w:val="006B3A50"/>
    <w:rsid w:val="006B438E"/>
    <w:rsid w:val="006C47CA"/>
    <w:rsid w:val="006D1542"/>
    <w:rsid w:val="006D573C"/>
    <w:rsid w:val="006E4C90"/>
    <w:rsid w:val="006E7871"/>
    <w:rsid w:val="006F24D7"/>
    <w:rsid w:val="00702FC6"/>
    <w:rsid w:val="0076070A"/>
    <w:rsid w:val="007752C7"/>
    <w:rsid w:val="00781B3F"/>
    <w:rsid w:val="00783180"/>
    <w:rsid w:val="007936EA"/>
    <w:rsid w:val="007B0DB1"/>
    <w:rsid w:val="007B17BE"/>
    <w:rsid w:val="007E4D30"/>
    <w:rsid w:val="007F4A24"/>
    <w:rsid w:val="00802D30"/>
    <w:rsid w:val="00831CD1"/>
    <w:rsid w:val="008476D7"/>
    <w:rsid w:val="008B4B0D"/>
    <w:rsid w:val="008D2364"/>
    <w:rsid w:val="008D6BAB"/>
    <w:rsid w:val="00915AE2"/>
    <w:rsid w:val="00961770"/>
    <w:rsid w:val="00994439"/>
    <w:rsid w:val="009A72F6"/>
    <w:rsid w:val="009B5D21"/>
    <w:rsid w:val="009B606F"/>
    <w:rsid w:val="009C6226"/>
    <w:rsid w:val="00A536F0"/>
    <w:rsid w:val="00A5378F"/>
    <w:rsid w:val="00A53CCF"/>
    <w:rsid w:val="00A62054"/>
    <w:rsid w:val="00AB2743"/>
    <w:rsid w:val="00AC1C90"/>
    <w:rsid w:val="00AE099B"/>
    <w:rsid w:val="00B2658B"/>
    <w:rsid w:val="00B270E5"/>
    <w:rsid w:val="00B616D9"/>
    <w:rsid w:val="00B64010"/>
    <w:rsid w:val="00BA2360"/>
    <w:rsid w:val="00BA5AB0"/>
    <w:rsid w:val="00BA5FA3"/>
    <w:rsid w:val="00BA7ECB"/>
    <w:rsid w:val="00BB18D5"/>
    <w:rsid w:val="00BD5054"/>
    <w:rsid w:val="00C021ED"/>
    <w:rsid w:val="00C14777"/>
    <w:rsid w:val="00C17897"/>
    <w:rsid w:val="00C34BD0"/>
    <w:rsid w:val="00C4357B"/>
    <w:rsid w:val="00C90A88"/>
    <w:rsid w:val="00CB324B"/>
    <w:rsid w:val="00CB58BF"/>
    <w:rsid w:val="00D47817"/>
    <w:rsid w:val="00D71797"/>
    <w:rsid w:val="00D72A9B"/>
    <w:rsid w:val="00DA3501"/>
    <w:rsid w:val="00DE27D5"/>
    <w:rsid w:val="00E52603"/>
    <w:rsid w:val="00E57A4D"/>
    <w:rsid w:val="00E63A55"/>
    <w:rsid w:val="00E74B2F"/>
    <w:rsid w:val="00E92379"/>
    <w:rsid w:val="00EE0198"/>
    <w:rsid w:val="00F008DF"/>
    <w:rsid w:val="00F11425"/>
    <w:rsid w:val="00F13F65"/>
    <w:rsid w:val="00F229F5"/>
    <w:rsid w:val="00F232E7"/>
    <w:rsid w:val="00F33033"/>
    <w:rsid w:val="00F416FB"/>
    <w:rsid w:val="00F97816"/>
    <w:rsid w:val="00FB03A6"/>
    <w:rsid w:val="00FE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573C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4F244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244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F244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E923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2379"/>
  </w:style>
  <w:style w:type="paragraph" w:styleId="Footer">
    <w:name w:val="footer"/>
    <w:basedOn w:val="Normal"/>
    <w:link w:val="FooterChar"/>
    <w:uiPriority w:val="99"/>
    <w:unhideWhenUsed/>
    <w:rsid w:val="00E923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573C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4F244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244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F24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j.eu/images/stories/pdf/GA/conferencereportbarcelona.pdf" TargetMode="External"/><Relationship Id="rId13" Type="http://schemas.openxmlformats.org/officeDocument/2006/relationships/hyperlink" Target="http://www.encj.eu/images/stories/pdf/mutualconfidence/mc2006-2007en.pdf" TargetMode="External"/><Relationship Id="rId18" Type="http://schemas.openxmlformats.org/officeDocument/2006/relationships/hyperlink" Target="http://www.encj.eu/images/stories/pdf/workinggroups/ejustice20082009.pdf" TargetMode="External"/><Relationship Id="rId26" Type="http://schemas.openxmlformats.org/officeDocument/2006/relationships/hyperlink" Target="http://www.encj.eu/images/stories/pdf/workinggroups/report_project_team_councils_for_the_judiciary_2010_2011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ncj.eu/images/stories/pdf/opinions/resolutionbucharest29may_final.pd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encj.eu/images/stories/pdf/workinggroups/missionandvision20042005.pdf" TargetMode="External"/><Relationship Id="rId12" Type="http://schemas.openxmlformats.org/officeDocument/2006/relationships/hyperlink" Target="http://www.encj.eu/images/stories/pdf/workinggroups/encj_report_on_courts_funding_and_accountability_2006_2007.pdf" TargetMode="External"/><Relationship Id="rId17" Type="http://schemas.openxmlformats.org/officeDocument/2006/relationships/hyperlink" Target="http://www.encj.eu/images/stories/pdf/mutualconfidenceworkinggroup2008-2009en.pdf" TargetMode="External"/><Relationship Id="rId25" Type="http://schemas.openxmlformats.org/officeDocument/2006/relationships/hyperlink" Target="http://www.encj.eu/images/stories/pdf/workinggroups/final_report_public_confidence_2010_2011.pd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ncj.eu/images/stories/pdf/workinggroups/registerqm20072008.pdf" TargetMode="External"/><Relationship Id="rId20" Type="http://schemas.openxmlformats.org/officeDocument/2006/relationships/hyperlink" Target="http://www.encj.eu/images/stories/pdf/workinggroups/qmregister20082009.pdf" TargetMode="External"/><Relationship Id="rId29" Type="http://schemas.openxmlformats.org/officeDocument/2006/relationships/hyperlink" Target="http://www.encj.eu/images/stories/pdf/GA/Dublin/encj_report_justice_society_media_def.pd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ncj.eu/images/stories/pdf/workinggroups/missionvision20062007en.pdf" TargetMode="External"/><Relationship Id="rId24" Type="http://schemas.openxmlformats.org/officeDocument/2006/relationships/hyperlink" Target="http://www.encj.eu/images/stories/pdf/workinggroups/finalreportqm20092010.pdf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encj.eu/images/stories/pdf/workinggroups/reportqm20072008.pdf" TargetMode="External"/><Relationship Id="rId23" Type="http://schemas.openxmlformats.org/officeDocument/2006/relationships/hyperlink" Target="http://www.encj.eu/images/stories/pdf/workinggroups/publicconfidence20092010.pdf" TargetMode="External"/><Relationship Id="rId28" Type="http://schemas.openxmlformats.org/officeDocument/2006/relationships/hyperlink" Target="http://www.encj.eu/images/stories/pdf/GA/Dublin/final_report_standards_ii.pdf" TargetMode="External"/><Relationship Id="rId10" Type="http://schemas.openxmlformats.org/officeDocument/2006/relationships/hyperlink" Target="http://www.encj.eu/images/stories/pdf/workinggroups/encj_report_on_mission_and_vision_developing_strategy_council_2005_2006.pdf" TargetMode="External"/><Relationship Id="rId19" Type="http://schemas.openxmlformats.org/officeDocument/2006/relationships/hyperlink" Target="http://www.encj.eu/images/stories/pdf/workinggroups/qmreport20082009.pdf" TargetMode="External"/><Relationship Id="rId31" Type="http://schemas.openxmlformats.org/officeDocument/2006/relationships/hyperlink" Target="http://www.encj.eu/images/stories/pdf/GA/Dublin/encj_dublin_declaration_def_dclaration_de_dublin_recj_def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cj.eu/images/stories/pdf/workinggroups/judiciaryandmedia20052006.pdf" TargetMode="External"/><Relationship Id="rId14" Type="http://schemas.openxmlformats.org/officeDocument/2006/relationships/hyperlink" Target="http://www.encj.eu/images/stories/pdf/mutualconfidence/m2007-2008en.pdf" TargetMode="External"/><Relationship Id="rId22" Type="http://schemas.openxmlformats.org/officeDocument/2006/relationships/hyperlink" Target="http://www.encj.eu/images/stories/pdf/mutualconfidence/mc2009-2010en.pdf" TargetMode="External"/><Relationship Id="rId27" Type="http://schemas.openxmlformats.org/officeDocument/2006/relationships/hyperlink" Target="http://www.encj.eu/images/stories/pdf/workinggroups/encj_report_project_team_minimum_standards.pdf" TargetMode="External"/><Relationship Id="rId30" Type="http://schemas.openxmlformats.org/officeDocument/2006/relationships/hyperlink" Target="http://www.encj.eu/images/stories/pdf/GA/Dublin/encj_report_judicial_reform_def.pdf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42900-202B-4A1C-90DA-7B21614B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6165</Words>
  <Characters>35141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Duska</dc:creator>
  <cp:lastModifiedBy>Dragana</cp:lastModifiedBy>
  <cp:revision>2</cp:revision>
  <cp:lastPrinted>2013-09-19T22:58:00Z</cp:lastPrinted>
  <dcterms:created xsi:type="dcterms:W3CDTF">2013-10-24T15:42:00Z</dcterms:created>
  <dcterms:modified xsi:type="dcterms:W3CDTF">2013-10-24T15:42:00Z</dcterms:modified>
</cp:coreProperties>
</file>